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57" w:rsidRDefault="00F9454F">
      <w:r>
        <w:rPr>
          <w:noProof/>
          <w:lang w:eastAsia="en-GB"/>
        </w:rPr>
        <w:drawing>
          <wp:inline distT="0" distB="0" distL="0" distR="0">
            <wp:extent cx="2524125" cy="533400"/>
            <wp:effectExtent l="0" t="0" r="9525" b="0"/>
            <wp:docPr id="1" name="Picture 1"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4-marque-cropped-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p>
    <w:p w:rsidR="00F9454F" w:rsidRDefault="00F9454F"/>
    <w:p w:rsidR="00667B51" w:rsidRDefault="00F9454F" w:rsidP="00F9454F">
      <w:pPr>
        <w:pStyle w:val="Heading1"/>
        <w:jc w:val="center"/>
        <w:rPr>
          <w:rFonts w:ascii="Arial" w:hAnsi="Arial" w:cs="Arial"/>
          <w:color w:val="808080" w:themeColor="background1" w:themeShade="80"/>
          <w:sz w:val="44"/>
          <w:szCs w:val="44"/>
        </w:rPr>
      </w:pPr>
      <w:r w:rsidRPr="00F9454F">
        <w:rPr>
          <w:rFonts w:ascii="Arial" w:hAnsi="Arial" w:cs="Arial"/>
          <w:color w:val="808080" w:themeColor="background1" w:themeShade="80"/>
          <w:sz w:val="44"/>
          <w:szCs w:val="44"/>
        </w:rPr>
        <w:t xml:space="preserve">Step by step guidelines for sale of vehicles </w:t>
      </w:r>
    </w:p>
    <w:p w:rsidR="00667B51" w:rsidRDefault="00F9454F" w:rsidP="00667B51">
      <w:pPr>
        <w:pStyle w:val="Heading1"/>
        <w:spacing w:before="0"/>
        <w:jc w:val="center"/>
        <w:rPr>
          <w:rFonts w:ascii="Arial" w:hAnsi="Arial" w:cs="Arial"/>
          <w:color w:val="808080" w:themeColor="background1" w:themeShade="80"/>
          <w:sz w:val="44"/>
          <w:szCs w:val="44"/>
        </w:rPr>
      </w:pPr>
      <w:proofErr w:type="gramStart"/>
      <w:r w:rsidRPr="00F9454F">
        <w:rPr>
          <w:rFonts w:ascii="Arial" w:hAnsi="Arial" w:cs="Arial"/>
          <w:color w:val="808080" w:themeColor="background1" w:themeShade="80"/>
          <w:sz w:val="44"/>
          <w:szCs w:val="44"/>
        </w:rPr>
        <w:t>by</w:t>
      </w:r>
      <w:proofErr w:type="gramEnd"/>
      <w:r w:rsidRPr="00F9454F">
        <w:rPr>
          <w:rFonts w:ascii="Arial" w:hAnsi="Arial" w:cs="Arial"/>
          <w:color w:val="808080" w:themeColor="background1" w:themeShade="80"/>
          <w:sz w:val="44"/>
          <w:szCs w:val="44"/>
        </w:rPr>
        <w:t xml:space="preserve"> competitive bidding</w:t>
      </w:r>
      <w:r w:rsidR="00667B51">
        <w:rPr>
          <w:rFonts w:ascii="Arial" w:hAnsi="Arial" w:cs="Arial"/>
          <w:color w:val="808080" w:themeColor="background1" w:themeShade="80"/>
          <w:sz w:val="44"/>
          <w:szCs w:val="44"/>
        </w:rPr>
        <w:t xml:space="preserve"> </w:t>
      </w:r>
    </w:p>
    <w:p w:rsidR="00F9454F" w:rsidRPr="00667B51" w:rsidRDefault="00667B51" w:rsidP="00667B51">
      <w:pPr>
        <w:pStyle w:val="Heading1"/>
        <w:spacing w:before="0"/>
        <w:jc w:val="center"/>
        <w:rPr>
          <w:rFonts w:ascii="Arial" w:hAnsi="Arial" w:cs="Arial"/>
          <w:color w:val="808080" w:themeColor="background1" w:themeShade="80"/>
          <w:sz w:val="30"/>
          <w:szCs w:val="30"/>
        </w:rPr>
      </w:pPr>
      <w:r w:rsidRPr="00667B51">
        <w:rPr>
          <w:rFonts w:ascii="Arial" w:hAnsi="Arial" w:cs="Arial"/>
          <w:color w:val="808080" w:themeColor="background1" w:themeShade="80"/>
          <w:sz w:val="30"/>
          <w:szCs w:val="30"/>
        </w:rPr>
        <w:t>(B</w:t>
      </w:r>
      <w:r w:rsidR="00FF18D1" w:rsidRPr="00667B51">
        <w:rPr>
          <w:rFonts w:ascii="Arial" w:hAnsi="Arial" w:cs="Arial"/>
          <w:color w:val="808080" w:themeColor="background1" w:themeShade="80"/>
          <w:sz w:val="30"/>
          <w:szCs w:val="30"/>
        </w:rPr>
        <w:t>ids in sealed envelopes)</w:t>
      </w:r>
    </w:p>
    <w:p w:rsidR="009013B0" w:rsidRDefault="009013B0" w:rsidP="009013B0"/>
    <w:p w:rsidR="009013B0" w:rsidRPr="0095043F" w:rsidRDefault="0095043F" w:rsidP="009013B0">
      <w:pPr>
        <w:rPr>
          <w:i/>
          <w:sz w:val="24"/>
          <w:szCs w:val="24"/>
        </w:rPr>
      </w:pPr>
      <w:r w:rsidRPr="0095043F">
        <w:rPr>
          <w:i/>
          <w:sz w:val="24"/>
          <w:szCs w:val="24"/>
        </w:rPr>
        <w:t xml:space="preserve">IMPORTANT: </w:t>
      </w:r>
      <w:r w:rsidR="009013B0" w:rsidRPr="0095043F">
        <w:rPr>
          <w:i/>
          <w:sz w:val="24"/>
          <w:szCs w:val="24"/>
        </w:rPr>
        <w:t xml:space="preserve">Before the decision is taken to sell any vehicle, ensure that an options analysis has been completed for the vehicle, considering the ‘pros and cons’ of each option, and any implications on programme activities. Options </w:t>
      </w:r>
      <w:r w:rsidR="00C97F53">
        <w:rPr>
          <w:i/>
          <w:sz w:val="24"/>
          <w:szCs w:val="24"/>
        </w:rPr>
        <w:t xml:space="preserve">considered </w:t>
      </w:r>
      <w:r w:rsidR="009013B0" w:rsidRPr="0095043F">
        <w:rPr>
          <w:i/>
          <w:sz w:val="24"/>
          <w:szCs w:val="24"/>
        </w:rPr>
        <w:t>should include repair/donation/sale/scrap</w:t>
      </w:r>
      <w:r w:rsidR="00C97F53">
        <w:rPr>
          <w:i/>
          <w:sz w:val="24"/>
          <w:szCs w:val="24"/>
        </w:rPr>
        <w:t xml:space="preserve"> etc.</w:t>
      </w:r>
    </w:p>
    <w:p w:rsidR="00F9454F" w:rsidRPr="0095043F" w:rsidRDefault="009013B0" w:rsidP="00F9454F">
      <w:pPr>
        <w:rPr>
          <w:sz w:val="24"/>
          <w:szCs w:val="24"/>
        </w:rPr>
      </w:pPr>
      <w:r w:rsidRPr="0095043F">
        <w:rPr>
          <w:sz w:val="24"/>
          <w:szCs w:val="24"/>
        </w:rPr>
        <w:t>If sale is the agreed method of disposal, please follow the steps below:</w:t>
      </w:r>
    </w:p>
    <w:p w:rsidR="009013B0" w:rsidRDefault="00F9454F" w:rsidP="00781AAE">
      <w:pPr>
        <w:rPr>
          <w:color w:val="FF0000"/>
          <w:sz w:val="36"/>
          <w:szCs w:val="36"/>
        </w:rPr>
      </w:pPr>
      <w:r w:rsidRPr="00E85D46">
        <w:rPr>
          <w:color w:val="FF0000"/>
          <w:sz w:val="36"/>
          <w:szCs w:val="36"/>
        </w:rPr>
        <w:t>Before the sale</w:t>
      </w:r>
    </w:p>
    <w:tbl>
      <w:tblPr>
        <w:tblStyle w:val="TableGrid"/>
        <w:tblW w:w="10060" w:type="dxa"/>
        <w:tblInd w:w="-289" w:type="dxa"/>
        <w:tblLayout w:type="fixed"/>
        <w:tblLook w:val="04A0" w:firstRow="1" w:lastRow="0" w:firstColumn="1" w:lastColumn="0" w:noHBand="0" w:noVBand="1"/>
      </w:tblPr>
      <w:tblGrid>
        <w:gridCol w:w="6516"/>
        <w:gridCol w:w="1843"/>
        <w:gridCol w:w="1701"/>
      </w:tblGrid>
      <w:tr w:rsidR="0032441D" w:rsidTr="00643D20">
        <w:trPr>
          <w:trHeight w:val="1209"/>
        </w:trPr>
        <w:tc>
          <w:tcPr>
            <w:tcW w:w="6516" w:type="dxa"/>
            <w:shd w:val="clear" w:color="auto" w:fill="E7E6E6" w:themeFill="background2"/>
          </w:tcPr>
          <w:p w:rsidR="0032441D" w:rsidRPr="00B95CC8" w:rsidRDefault="0032441D" w:rsidP="00D743B4">
            <w:pPr>
              <w:jc w:val="center"/>
              <w:rPr>
                <w:sz w:val="24"/>
                <w:szCs w:val="24"/>
              </w:rPr>
            </w:pPr>
            <w:r w:rsidRPr="00B95CC8">
              <w:rPr>
                <w:sz w:val="24"/>
                <w:szCs w:val="24"/>
              </w:rPr>
              <w:t>Steps to take</w:t>
            </w:r>
          </w:p>
        </w:tc>
        <w:tc>
          <w:tcPr>
            <w:tcW w:w="1843" w:type="dxa"/>
            <w:shd w:val="clear" w:color="auto" w:fill="E7E6E6" w:themeFill="background2"/>
          </w:tcPr>
          <w:p w:rsidR="00643D20" w:rsidRDefault="00BB2826" w:rsidP="0095043F">
            <w:pPr>
              <w:pStyle w:val="ListParagraph"/>
              <w:ind w:left="0"/>
              <w:rPr>
                <w:sz w:val="24"/>
                <w:szCs w:val="24"/>
              </w:rPr>
            </w:pPr>
            <w:r>
              <w:rPr>
                <w:sz w:val="24"/>
                <w:szCs w:val="24"/>
              </w:rPr>
              <w:t>Lead person responsible</w:t>
            </w:r>
            <w:r w:rsidR="00524845">
              <w:rPr>
                <w:sz w:val="24"/>
                <w:szCs w:val="24"/>
              </w:rPr>
              <w:t xml:space="preserve"> </w:t>
            </w:r>
          </w:p>
          <w:p w:rsidR="0032441D" w:rsidRPr="00BB2826" w:rsidRDefault="00524845" w:rsidP="0095043F">
            <w:pPr>
              <w:pStyle w:val="ListParagraph"/>
              <w:ind w:left="0"/>
              <w:rPr>
                <w:sz w:val="24"/>
                <w:szCs w:val="24"/>
              </w:rPr>
            </w:pPr>
            <w:r>
              <w:rPr>
                <w:sz w:val="24"/>
                <w:szCs w:val="24"/>
              </w:rPr>
              <w:t xml:space="preserve">(to be assigned by </w:t>
            </w:r>
            <w:r w:rsidR="0095043F">
              <w:rPr>
                <w:sz w:val="24"/>
                <w:szCs w:val="24"/>
              </w:rPr>
              <w:t>Branch</w:t>
            </w:r>
            <w:r>
              <w:rPr>
                <w:sz w:val="24"/>
                <w:szCs w:val="24"/>
              </w:rPr>
              <w:t>)</w:t>
            </w:r>
          </w:p>
        </w:tc>
        <w:tc>
          <w:tcPr>
            <w:tcW w:w="1701" w:type="dxa"/>
            <w:shd w:val="clear" w:color="auto" w:fill="E7E6E6" w:themeFill="background2"/>
          </w:tcPr>
          <w:p w:rsidR="00C97F53" w:rsidRPr="00C97F53" w:rsidRDefault="0032441D" w:rsidP="00D743B4">
            <w:pPr>
              <w:pStyle w:val="ListParagraph"/>
              <w:numPr>
                <w:ilvl w:val="0"/>
                <w:numId w:val="7"/>
              </w:numPr>
              <w:rPr>
                <w:color w:val="FF0000"/>
                <w:sz w:val="24"/>
                <w:szCs w:val="24"/>
              </w:rPr>
            </w:pPr>
            <w:r w:rsidRPr="00B95CC8">
              <w:rPr>
                <w:color w:val="FF0000"/>
                <w:sz w:val="24"/>
                <w:szCs w:val="24"/>
              </w:rPr>
              <w:t xml:space="preserve"> </w:t>
            </w:r>
            <w:r w:rsidRPr="00B95CC8">
              <w:rPr>
                <w:sz w:val="24"/>
                <w:szCs w:val="24"/>
              </w:rPr>
              <w:t>Tick box when checked/</w:t>
            </w:r>
          </w:p>
          <w:p w:rsidR="0032441D" w:rsidRPr="00B95CC8" w:rsidRDefault="0032441D" w:rsidP="00C97F53">
            <w:pPr>
              <w:pStyle w:val="ListParagraph"/>
              <w:ind w:left="360"/>
              <w:rPr>
                <w:color w:val="FF0000"/>
                <w:sz w:val="24"/>
                <w:szCs w:val="24"/>
              </w:rPr>
            </w:pPr>
            <w:r w:rsidRPr="00B95CC8">
              <w:rPr>
                <w:sz w:val="24"/>
                <w:szCs w:val="24"/>
              </w:rPr>
              <w:t>completed</w:t>
            </w:r>
          </w:p>
        </w:tc>
      </w:tr>
      <w:tr w:rsidR="0032441D" w:rsidTr="00643D20">
        <w:tc>
          <w:tcPr>
            <w:tcW w:w="6516" w:type="dxa"/>
          </w:tcPr>
          <w:p w:rsidR="0032441D" w:rsidRPr="00B95CC8" w:rsidRDefault="0032441D" w:rsidP="00D743B4">
            <w:pPr>
              <w:pStyle w:val="ListParagraph"/>
              <w:numPr>
                <w:ilvl w:val="0"/>
                <w:numId w:val="8"/>
              </w:numPr>
              <w:rPr>
                <w:color w:val="FF0000"/>
                <w:sz w:val="24"/>
                <w:szCs w:val="24"/>
              </w:rPr>
            </w:pPr>
            <w:r w:rsidRPr="00B95CC8">
              <w:rPr>
                <w:sz w:val="24"/>
                <w:szCs w:val="24"/>
              </w:rPr>
              <w:t>If applicable, ensure that approval has been sought from the donor to dispose of the vehicle(s)</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r w:rsidR="0032441D" w:rsidTr="00643D20">
        <w:tc>
          <w:tcPr>
            <w:tcW w:w="6516" w:type="dxa"/>
          </w:tcPr>
          <w:p w:rsidR="0032441D" w:rsidRPr="00C90368" w:rsidRDefault="00C90368" w:rsidP="00C90368">
            <w:pPr>
              <w:pStyle w:val="ListParagraph"/>
              <w:numPr>
                <w:ilvl w:val="0"/>
                <w:numId w:val="8"/>
              </w:numPr>
              <w:rPr>
                <w:color w:val="FF0000"/>
                <w:sz w:val="24"/>
                <w:szCs w:val="24"/>
              </w:rPr>
            </w:pPr>
            <w:r>
              <w:rPr>
                <w:sz w:val="24"/>
                <w:szCs w:val="24"/>
              </w:rPr>
              <w:t>S</w:t>
            </w:r>
            <w:r w:rsidR="0032441D" w:rsidRPr="00C90368">
              <w:rPr>
                <w:sz w:val="24"/>
                <w:szCs w:val="24"/>
              </w:rPr>
              <w:t>eek approval from BRC HQ Logistics for the sale of the vehicle(s).</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r w:rsidR="0032441D" w:rsidTr="00643D20">
        <w:tc>
          <w:tcPr>
            <w:tcW w:w="6516" w:type="dxa"/>
          </w:tcPr>
          <w:p w:rsidR="0032441D" w:rsidRPr="00B95CC8" w:rsidRDefault="0032441D" w:rsidP="00D743B4">
            <w:pPr>
              <w:pStyle w:val="ListParagraph"/>
              <w:numPr>
                <w:ilvl w:val="0"/>
                <w:numId w:val="8"/>
              </w:numPr>
              <w:rPr>
                <w:color w:val="FF0000"/>
                <w:sz w:val="24"/>
                <w:szCs w:val="24"/>
              </w:rPr>
            </w:pPr>
            <w:r w:rsidRPr="00B95CC8">
              <w:rPr>
                <w:sz w:val="24"/>
                <w:szCs w:val="24"/>
              </w:rPr>
              <w:t>Seek approval from the Board of the Bran</w:t>
            </w:r>
            <w:r>
              <w:rPr>
                <w:sz w:val="24"/>
                <w:szCs w:val="24"/>
              </w:rPr>
              <w:t>ch for the sale of the vehicle</w:t>
            </w:r>
            <w:r w:rsidR="00C90368">
              <w:rPr>
                <w:sz w:val="24"/>
                <w:szCs w:val="24"/>
              </w:rPr>
              <w:t>(</w:t>
            </w:r>
            <w:r>
              <w:rPr>
                <w:sz w:val="24"/>
                <w:szCs w:val="24"/>
              </w:rPr>
              <w:t>s</w:t>
            </w:r>
            <w:r w:rsidR="00C90368">
              <w:rPr>
                <w:sz w:val="24"/>
                <w:szCs w:val="24"/>
              </w:rPr>
              <w:t>)</w:t>
            </w:r>
            <w:r>
              <w:rPr>
                <w:sz w:val="24"/>
                <w:szCs w:val="24"/>
              </w:rPr>
              <w:t xml:space="preserve">, and </w:t>
            </w:r>
            <w:r w:rsidR="00084BB3">
              <w:rPr>
                <w:sz w:val="24"/>
                <w:szCs w:val="24"/>
              </w:rPr>
              <w:t xml:space="preserve">ensure </w:t>
            </w:r>
            <w:r>
              <w:rPr>
                <w:sz w:val="24"/>
                <w:szCs w:val="24"/>
              </w:rPr>
              <w:t>compliance with</w:t>
            </w:r>
            <w:r w:rsidR="00084BB3">
              <w:rPr>
                <w:sz w:val="24"/>
                <w:szCs w:val="24"/>
              </w:rPr>
              <w:t xml:space="preserve"> any applicable</w:t>
            </w:r>
            <w:r w:rsidR="00524845">
              <w:rPr>
                <w:sz w:val="24"/>
                <w:szCs w:val="24"/>
              </w:rPr>
              <w:t xml:space="preserve"> Branch</w:t>
            </w:r>
            <w:r>
              <w:rPr>
                <w:sz w:val="24"/>
                <w:szCs w:val="24"/>
              </w:rPr>
              <w:t xml:space="preserve"> disposal procedure/policy and authorisation process.</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r w:rsidR="0032441D" w:rsidTr="00643D20">
        <w:tc>
          <w:tcPr>
            <w:tcW w:w="6516" w:type="dxa"/>
          </w:tcPr>
          <w:p w:rsidR="0032441D" w:rsidRPr="00B95CC8" w:rsidRDefault="0032441D" w:rsidP="00B95CC8">
            <w:pPr>
              <w:pStyle w:val="ListParagraph"/>
              <w:numPr>
                <w:ilvl w:val="0"/>
                <w:numId w:val="8"/>
              </w:numPr>
              <w:rPr>
                <w:sz w:val="24"/>
                <w:szCs w:val="24"/>
              </w:rPr>
            </w:pPr>
            <w:r w:rsidRPr="00B95CC8">
              <w:rPr>
                <w:sz w:val="24"/>
                <w:szCs w:val="24"/>
              </w:rPr>
              <w:t>Check that the vehicles are registered in the n</w:t>
            </w:r>
            <w:r w:rsidR="00524845">
              <w:rPr>
                <w:sz w:val="24"/>
                <w:szCs w:val="24"/>
              </w:rPr>
              <w:t>ame of the Branch</w:t>
            </w:r>
            <w:r w:rsidRPr="00B95CC8">
              <w:rPr>
                <w:sz w:val="24"/>
                <w:szCs w:val="24"/>
              </w:rPr>
              <w:t>, and if not, the implications that this may have on the sale of the vehicle</w:t>
            </w:r>
            <w:r w:rsidR="00C90368">
              <w:rPr>
                <w:sz w:val="24"/>
                <w:szCs w:val="24"/>
              </w:rPr>
              <w:t>(</w:t>
            </w:r>
            <w:r w:rsidRPr="00B95CC8">
              <w:rPr>
                <w:sz w:val="24"/>
                <w:szCs w:val="24"/>
              </w:rPr>
              <w:t>s</w:t>
            </w:r>
            <w:r w:rsidR="00C90368">
              <w:rPr>
                <w:sz w:val="24"/>
                <w:szCs w:val="24"/>
              </w:rPr>
              <w:t>)</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r w:rsidR="0032441D" w:rsidTr="00643D20">
        <w:tc>
          <w:tcPr>
            <w:tcW w:w="6516" w:type="dxa"/>
          </w:tcPr>
          <w:p w:rsidR="0032441D" w:rsidRPr="00B95CC8" w:rsidRDefault="0032441D" w:rsidP="00B95CC8">
            <w:pPr>
              <w:pStyle w:val="ListParagraph"/>
              <w:numPr>
                <w:ilvl w:val="0"/>
                <w:numId w:val="8"/>
              </w:numPr>
              <w:rPr>
                <w:sz w:val="24"/>
                <w:szCs w:val="24"/>
              </w:rPr>
            </w:pPr>
            <w:r w:rsidRPr="00B95CC8">
              <w:rPr>
                <w:sz w:val="24"/>
                <w:szCs w:val="24"/>
              </w:rPr>
              <w:t>Check whether insurance policies, MOT (Certificate of road worthiness), and road tax policies have all been closed (in accordance with local laws and regulations)</w:t>
            </w:r>
            <w:r w:rsidR="00084BB3">
              <w:rPr>
                <w:sz w:val="24"/>
                <w:szCs w:val="24"/>
              </w:rPr>
              <w:t xml:space="preserve">, or if </w:t>
            </w:r>
            <w:r w:rsidR="00C90368">
              <w:rPr>
                <w:sz w:val="24"/>
                <w:szCs w:val="24"/>
              </w:rPr>
              <w:t xml:space="preserve">it is </w:t>
            </w:r>
            <w:r w:rsidR="00084BB3">
              <w:rPr>
                <w:sz w:val="24"/>
                <w:szCs w:val="24"/>
              </w:rPr>
              <w:t>possible to transfer any of these as part of the sale</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r w:rsidR="0032441D" w:rsidTr="00643D20">
        <w:tc>
          <w:tcPr>
            <w:tcW w:w="6516" w:type="dxa"/>
          </w:tcPr>
          <w:p w:rsidR="0032441D" w:rsidRPr="00B95CC8" w:rsidRDefault="0032441D" w:rsidP="00C90368">
            <w:pPr>
              <w:pStyle w:val="ListParagraph"/>
              <w:numPr>
                <w:ilvl w:val="0"/>
                <w:numId w:val="8"/>
              </w:numPr>
              <w:rPr>
                <w:sz w:val="24"/>
                <w:szCs w:val="24"/>
              </w:rPr>
            </w:pPr>
            <w:r w:rsidRPr="00B95CC8">
              <w:rPr>
                <w:sz w:val="24"/>
                <w:szCs w:val="24"/>
              </w:rPr>
              <w:t>The tax implications of sale must be researched thoroughly. Check if any taxes need to be paid by the seller on sale of the vehicle, even if tax was not paid when the vehicle was</w:t>
            </w:r>
            <w:r w:rsidR="00C90368">
              <w:rPr>
                <w:sz w:val="24"/>
                <w:szCs w:val="24"/>
              </w:rPr>
              <w:t xml:space="preserve"> bought/</w:t>
            </w:r>
            <w:r w:rsidRPr="00B95CC8">
              <w:rPr>
                <w:sz w:val="24"/>
                <w:szCs w:val="24"/>
              </w:rPr>
              <w:t>imported.</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r w:rsidR="0032441D" w:rsidTr="00643D20">
        <w:tc>
          <w:tcPr>
            <w:tcW w:w="6516" w:type="dxa"/>
          </w:tcPr>
          <w:p w:rsidR="0032441D" w:rsidRPr="00B95CC8" w:rsidRDefault="0032441D" w:rsidP="00B95CC8">
            <w:pPr>
              <w:pStyle w:val="ListParagraph"/>
              <w:numPr>
                <w:ilvl w:val="0"/>
                <w:numId w:val="8"/>
              </w:numPr>
              <w:rPr>
                <w:sz w:val="24"/>
                <w:szCs w:val="24"/>
              </w:rPr>
            </w:pPr>
            <w:r w:rsidRPr="00B95CC8">
              <w:rPr>
                <w:sz w:val="24"/>
                <w:szCs w:val="24"/>
              </w:rPr>
              <w:t xml:space="preserve">Check whether there are any government restrictions that prohibit the sale of imported vehicles, or require import duties to be paid prior to sale. </w:t>
            </w:r>
            <w:r w:rsidR="00084BB3">
              <w:rPr>
                <w:sz w:val="24"/>
                <w:szCs w:val="24"/>
              </w:rPr>
              <w:t xml:space="preserve">This is particularly </w:t>
            </w:r>
            <w:r w:rsidR="00084BB3">
              <w:rPr>
                <w:sz w:val="24"/>
                <w:szCs w:val="24"/>
              </w:rPr>
              <w:lastRenderedPageBreak/>
              <w:t xml:space="preserve">important </w:t>
            </w:r>
            <w:r w:rsidR="00524845">
              <w:rPr>
                <w:sz w:val="24"/>
                <w:szCs w:val="24"/>
              </w:rPr>
              <w:t>where the Branch</w:t>
            </w:r>
            <w:r w:rsidR="00084BB3">
              <w:rPr>
                <w:sz w:val="24"/>
                <w:szCs w:val="24"/>
              </w:rPr>
              <w:t xml:space="preserve"> is exempt or partially exempt from import</w:t>
            </w:r>
            <w:r w:rsidR="00C90368">
              <w:rPr>
                <w:sz w:val="24"/>
                <w:szCs w:val="24"/>
              </w:rPr>
              <w:t>/customs</w:t>
            </w:r>
            <w:r w:rsidR="00084BB3">
              <w:rPr>
                <w:sz w:val="24"/>
                <w:szCs w:val="24"/>
              </w:rPr>
              <w:t xml:space="preserve"> duties. </w:t>
            </w:r>
            <w:r w:rsidRPr="00B95CC8">
              <w:rPr>
                <w:sz w:val="24"/>
                <w:szCs w:val="24"/>
              </w:rPr>
              <w:t xml:space="preserve">If import duties are to be paid, it must be </w:t>
            </w:r>
            <w:r w:rsidR="00643D20">
              <w:rPr>
                <w:sz w:val="24"/>
                <w:szCs w:val="24"/>
              </w:rPr>
              <w:t xml:space="preserve">made </w:t>
            </w:r>
            <w:r w:rsidRPr="00B95CC8">
              <w:rPr>
                <w:sz w:val="24"/>
                <w:szCs w:val="24"/>
              </w:rPr>
              <w:t>clear to the buyer that they are liable to pay these costs.</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r w:rsidR="0032441D" w:rsidTr="00643D20">
        <w:tc>
          <w:tcPr>
            <w:tcW w:w="6516" w:type="dxa"/>
          </w:tcPr>
          <w:p w:rsidR="0032441D" w:rsidRPr="00B95CC8" w:rsidRDefault="0032441D" w:rsidP="00B95CC8">
            <w:pPr>
              <w:pStyle w:val="ListParagraph"/>
              <w:numPr>
                <w:ilvl w:val="0"/>
                <w:numId w:val="8"/>
              </w:numPr>
              <w:rPr>
                <w:sz w:val="24"/>
                <w:szCs w:val="24"/>
              </w:rPr>
            </w:pPr>
            <w:r w:rsidRPr="00B95CC8">
              <w:rPr>
                <w:sz w:val="24"/>
                <w:szCs w:val="24"/>
              </w:rPr>
              <w:t>Remove any branding from the vehicle (logos, stickers)</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r w:rsidR="0032441D" w:rsidTr="00643D20">
        <w:tc>
          <w:tcPr>
            <w:tcW w:w="6516" w:type="dxa"/>
          </w:tcPr>
          <w:p w:rsidR="0032441D" w:rsidRPr="00B95CC8" w:rsidRDefault="0032441D" w:rsidP="00B95CC8">
            <w:pPr>
              <w:pStyle w:val="ListParagraph"/>
              <w:numPr>
                <w:ilvl w:val="0"/>
                <w:numId w:val="8"/>
              </w:numPr>
              <w:rPr>
                <w:sz w:val="24"/>
                <w:szCs w:val="24"/>
              </w:rPr>
            </w:pPr>
            <w:r>
              <w:rPr>
                <w:sz w:val="24"/>
                <w:szCs w:val="24"/>
              </w:rPr>
              <w:t>Identify any additional equipment in each vehicle, such as jacks, toolkits, tow ropes, spare parts and decide whether to include in the sale of the vehicle</w:t>
            </w:r>
            <w:r w:rsidR="00C90368">
              <w:rPr>
                <w:sz w:val="24"/>
                <w:szCs w:val="24"/>
              </w:rPr>
              <w:t>(s)</w:t>
            </w:r>
            <w:r>
              <w:rPr>
                <w:sz w:val="24"/>
                <w:szCs w:val="24"/>
              </w:rPr>
              <w:t xml:space="preserve"> or transfer to </w:t>
            </w:r>
            <w:r w:rsidR="00773E67">
              <w:rPr>
                <w:sz w:val="24"/>
                <w:szCs w:val="24"/>
              </w:rPr>
              <w:t xml:space="preserve">other </w:t>
            </w:r>
            <w:r>
              <w:rPr>
                <w:sz w:val="24"/>
                <w:szCs w:val="24"/>
              </w:rPr>
              <w:t>vehicles in use.</w:t>
            </w:r>
          </w:p>
        </w:tc>
        <w:tc>
          <w:tcPr>
            <w:tcW w:w="1843" w:type="dxa"/>
          </w:tcPr>
          <w:p w:rsidR="0032441D" w:rsidRPr="00B95CC8" w:rsidRDefault="0032441D" w:rsidP="00781AAE">
            <w:pPr>
              <w:rPr>
                <w:color w:val="FF0000"/>
                <w:sz w:val="24"/>
                <w:szCs w:val="24"/>
              </w:rPr>
            </w:pPr>
          </w:p>
        </w:tc>
        <w:tc>
          <w:tcPr>
            <w:tcW w:w="1701" w:type="dxa"/>
          </w:tcPr>
          <w:p w:rsidR="0032441D" w:rsidRPr="00B95CC8" w:rsidRDefault="0032441D" w:rsidP="00781AAE">
            <w:pPr>
              <w:rPr>
                <w:color w:val="FF0000"/>
                <w:sz w:val="24"/>
                <w:szCs w:val="24"/>
              </w:rPr>
            </w:pPr>
          </w:p>
        </w:tc>
      </w:tr>
    </w:tbl>
    <w:p w:rsidR="00781AAE" w:rsidRPr="00B95CC8" w:rsidRDefault="00781AAE" w:rsidP="00B95CC8">
      <w:pPr>
        <w:rPr>
          <w:sz w:val="32"/>
          <w:szCs w:val="32"/>
        </w:rPr>
      </w:pPr>
    </w:p>
    <w:p w:rsidR="00781AAE" w:rsidRDefault="00781AAE" w:rsidP="00781AAE">
      <w:pPr>
        <w:pStyle w:val="Heading1"/>
        <w:rPr>
          <w:rFonts w:asciiTheme="minorHAnsi" w:hAnsiTheme="minorHAnsi" w:cstheme="minorHAnsi"/>
          <w:color w:val="FF0000"/>
          <w:sz w:val="36"/>
          <w:szCs w:val="36"/>
        </w:rPr>
      </w:pPr>
      <w:r w:rsidRPr="00781AAE">
        <w:rPr>
          <w:rFonts w:asciiTheme="minorHAnsi" w:hAnsiTheme="minorHAnsi" w:cstheme="minorHAnsi"/>
          <w:color w:val="FF0000"/>
          <w:sz w:val="36"/>
          <w:szCs w:val="36"/>
        </w:rPr>
        <w:t>Invitation to bid</w:t>
      </w:r>
      <w:r w:rsidR="00A56559">
        <w:rPr>
          <w:rFonts w:asciiTheme="minorHAnsi" w:hAnsiTheme="minorHAnsi" w:cstheme="minorHAnsi"/>
          <w:color w:val="FF0000"/>
          <w:sz w:val="36"/>
          <w:szCs w:val="36"/>
        </w:rPr>
        <w:t xml:space="preserve"> (newspaper advertisement) and Bid form (to be completed by potential buyers)</w:t>
      </w:r>
    </w:p>
    <w:tbl>
      <w:tblPr>
        <w:tblStyle w:val="TableGrid"/>
        <w:tblW w:w="10065" w:type="dxa"/>
        <w:tblInd w:w="-289" w:type="dxa"/>
        <w:tblLayout w:type="fixed"/>
        <w:tblLook w:val="04A0" w:firstRow="1" w:lastRow="0" w:firstColumn="1" w:lastColumn="0" w:noHBand="0" w:noVBand="1"/>
      </w:tblPr>
      <w:tblGrid>
        <w:gridCol w:w="6521"/>
        <w:gridCol w:w="1843"/>
        <w:gridCol w:w="1701"/>
      </w:tblGrid>
      <w:tr w:rsidR="0032441D" w:rsidTr="00643D20">
        <w:tc>
          <w:tcPr>
            <w:tcW w:w="6521" w:type="dxa"/>
            <w:shd w:val="clear" w:color="auto" w:fill="E7E6E6" w:themeFill="background2"/>
          </w:tcPr>
          <w:p w:rsidR="0032441D" w:rsidRPr="00B95CC8" w:rsidRDefault="0032441D" w:rsidP="00B95CC8">
            <w:pPr>
              <w:jc w:val="center"/>
              <w:rPr>
                <w:sz w:val="24"/>
                <w:szCs w:val="24"/>
              </w:rPr>
            </w:pPr>
            <w:r w:rsidRPr="00B95CC8">
              <w:rPr>
                <w:sz w:val="24"/>
                <w:szCs w:val="24"/>
              </w:rPr>
              <w:t>Steps to take</w:t>
            </w:r>
          </w:p>
        </w:tc>
        <w:tc>
          <w:tcPr>
            <w:tcW w:w="1843" w:type="dxa"/>
            <w:shd w:val="clear" w:color="auto" w:fill="E7E6E6" w:themeFill="background2"/>
          </w:tcPr>
          <w:p w:rsidR="0032441D" w:rsidRDefault="00BB2826" w:rsidP="00BB2826">
            <w:pPr>
              <w:rPr>
                <w:sz w:val="24"/>
                <w:szCs w:val="24"/>
              </w:rPr>
            </w:pPr>
            <w:r>
              <w:rPr>
                <w:sz w:val="24"/>
                <w:szCs w:val="24"/>
              </w:rPr>
              <w:t>Lead person responsible</w:t>
            </w:r>
          </w:p>
          <w:p w:rsidR="00B074A6" w:rsidRPr="00BB2826" w:rsidRDefault="00B074A6" w:rsidP="00BB2826">
            <w:pPr>
              <w:rPr>
                <w:sz w:val="24"/>
                <w:szCs w:val="24"/>
              </w:rPr>
            </w:pPr>
            <w:r>
              <w:rPr>
                <w:sz w:val="24"/>
                <w:szCs w:val="24"/>
              </w:rPr>
              <w:t>(to be assigned by Branch)</w:t>
            </w:r>
          </w:p>
        </w:tc>
        <w:tc>
          <w:tcPr>
            <w:tcW w:w="1701" w:type="dxa"/>
            <w:shd w:val="clear" w:color="auto" w:fill="E7E6E6" w:themeFill="background2"/>
          </w:tcPr>
          <w:p w:rsidR="00B074A6" w:rsidRPr="00B074A6" w:rsidRDefault="0032441D" w:rsidP="00B95CC8">
            <w:pPr>
              <w:pStyle w:val="ListParagraph"/>
              <w:numPr>
                <w:ilvl w:val="0"/>
                <w:numId w:val="7"/>
              </w:numPr>
              <w:rPr>
                <w:color w:val="FF0000"/>
                <w:sz w:val="24"/>
                <w:szCs w:val="24"/>
              </w:rPr>
            </w:pPr>
            <w:r w:rsidRPr="00B95CC8">
              <w:rPr>
                <w:color w:val="FF0000"/>
                <w:sz w:val="24"/>
                <w:szCs w:val="24"/>
              </w:rPr>
              <w:t xml:space="preserve"> </w:t>
            </w:r>
            <w:r w:rsidRPr="00B95CC8">
              <w:rPr>
                <w:sz w:val="24"/>
                <w:szCs w:val="24"/>
              </w:rPr>
              <w:t>Tick box when checked/</w:t>
            </w:r>
          </w:p>
          <w:p w:rsidR="0032441D" w:rsidRPr="00B95CC8" w:rsidRDefault="0032441D" w:rsidP="00B074A6">
            <w:pPr>
              <w:pStyle w:val="ListParagraph"/>
              <w:ind w:left="360"/>
              <w:rPr>
                <w:color w:val="FF0000"/>
                <w:sz w:val="24"/>
                <w:szCs w:val="24"/>
              </w:rPr>
            </w:pPr>
            <w:r w:rsidRPr="00B95CC8">
              <w:rPr>
                <w:sz w:val="24"/>
                <w:szCs w:val="24"/>
              </w:rPr>
              <w:t>completed</w:t>
            </w:r>
          </w:p>
        </w:tc>
      </w:tr>
      <w:tr w:rsidR="0032441D" w:rsidTr="00643D20">
        <w:tc>
          <w:tcPr>
            <w:tcW w:w="6521" w:type="dxa"/>
          </w:tcPr>
          <w:p w:rsidR="00E40427" w:rsidRDefault="0032441D" w:rsidP="00E9246A">
            <w:pPr>
              <w:pStyle w:val="ListParagraph"/>
              <w:numPr>
                <w:ilvl w:val="0"/>
                <w:numId w:val="9"/>
              </w:numPr>
              <w:rPr>
                <w:sz w:val="24"/>
                <w:szCs w:val="24"/>
              </w:rPr>
            </w:pPr>
            <w:r w:rsidRPr="009760D0">
              <w:rPr>
                <w:sz w:val="24"/>
                <w:szCs w:val="24"/>
              </w:rPr>
              <w:t xml:space="preserve">An advertisement should be placed in the local media to </w:t>
            </w:r>
            <w:r>
              <w:rPr>
                <w:sz w:val="24"/>
                <w:szCs w:val="24"/>
              </w:rPr>
              <w:t>announce the Invitation to bid</w:t>
            </w:r>
            <w:r w:rsidR="00524845">
              <w:rPr>
                <w:sz w:val="24"/>
                <w:szCs w:val="24"/>
              </w:rPr>
              <w:t xml:space="preserve"> </w:t>
            </w:r>
            <w:r w:rsidR="00524845" w:rsidRPr="00524845">
              <w:rPr>
                <w:i/>
                <w:sz w:val="24"/>
                <w:szCs w:val="24"/>
              </w:rPr>
              <w:t>(see template attached)</w:t>
            </w:r>
            <w:r w:rsidRPr="009760D0">
              <w:rPr>
                <w:sz w:val="24"/>
                <w:szCs w:val="24"/>
              </w:rPr>
              <w:t xml:space="preserve">. Indicate in the advertisement the quantity, type, make and model, and </w:t>
            </w:r>
            <w:r w:rsidR="00773E67">
              <w:rPr>
                <w:sz w:val="24"/>
                <w:szCs w:val="24"/>
              </w:rPr>
              <w:t>the condition of the vehicle</w:t>
            </w:r>
            <w:r w:rsidR="00E9246A">
              <w:rPr>
                <w:sz w:val="24"/>
                <w:szCs w:val="24"/>
              </w:rPr>
              <w:t>(</w:t>
            </w:r>
            <w:r w:rsidR="00773E67">
              <w:rPr>
                <w:sz w:val="24"/>
                <w:szCs w:val="24"/>
              </w:rPr>
              <w:t>s</w:t>
            </w:r>
            <w:r w:rsidR="00E9246A">
              <w:rPr>
                <w:sz w:val="24"/>
                <w:szCs w:val="24"/>
              </w:rPr>
              <w:t xml:space="preserve">). </w:t>
            </w:r>
            <w:r w:rsidR="00773E67">
              <w:rPr>
                <w:sz w:val="24"/>
                <w:szCs w:val="24"/>
              </w:rPr>
              <w:t xml:space="preserve"> </w:t>
            </w:r>
          </w:p>
          <w:p w:rsidR="0032441D" w:rsidRPr="00E9246A" w:rsidRDefault="00E9246A" w:rsidP="00E40427">
            <w:pPr>
              <w:pStyle w:val="ListParagraph"/>
              <w:rPr>
                <w:sz w:val="24"/>
                <w:szCs w:val="24"/>
              </w:rPr>
            </w:pPr>
            <w:r>
              <w:rPr>
                <w:sz w:val="24"/>
                <w:szCs w:val="24"/>
              </w:rPr>
              <w:t xml:space="preserve">When stating the condition, </w:t>
            </w:r>
            <w:r w:rsidRPr="009760D0">
              <w:rPr>
                <w:sz w:val="24"/>
                <w:szCs w:val="24"/>
              </w:rPr>
              <w:t>give a ‘worst case’ description. Indica</w:t>
            </w:r>
            <w:r>
              <w:rPr>
                <w:sz w:val="24"/>
                <w:szCs w:val="24"/>
              </w:rPr>
              <w:t>te if used, damaged (include</w:t>
            </w:r>
            <w:r w:rsidRPr="009760D0">
              <w:rPr>
                <w:sz w:val="24"/>
                <w:szCs w:val="24"/>
              </w:rPr>
              <w:t xml:space="preserve"> detail</w:t>
            </w:r>
            <w:r>
              <w:rPr>
                <w:sz w:val="24"/>
                <w:szCs w:val="24"/>
              </w:rPr>
              <w:t>s of any known faults)</w:t>
            </w:r>
            <w:r w:rsidRPr="009760D0">
              <w:rPr>
                <w:sz w:val="24"/>
                <w:szCs w:val="24"/>
              </w:rPr>
              <w:t xml:space="preserve">, </w:t>
            </w:r>
            <w:r>
              <w:rPr>
                <w:sz w:val="24"/>
                <w:szCs w:val="24"/>
              </w:rPr>
              <w:t xml:space="preserve">for scrap/spare parts and details of last service etc. </w:t>
            </w:r>
            <w:r w:rsidR="0032441D" w:rsidRPr="009760D0">
              <w:rPr>
                <w:sz w:val="24"/>
                <w:szCs w:val="24"/>
              </w:rPr>
              <w:t>Photos of the vehicles should be included in the advertisement.</w:t>
            </w:r>
            <w:r>
              <w:rPr>
                <w:sz w:val="24"/>
                <w:szCs w:val="24"/>
              </w:rPr>
              <w:t xml:space="preserve"> These details should also be included in the </w:t>
            </w:r>
            <w:r w:rsidRPr="00E9246A">
              <w:rPr>
                <w:sz w:val="24"/>
                <w:szCs w:val="24"/>
              </w:rPr>
              <w:t>“Bid Form”.</w:t>
            </w:r>
          </w:p>
        </w:tc>
        <w:tc>
          <w:tcPr>
            <w:tcW w:w="1843" w:type="dxa"/>
          </w:tcPr>
          <w:p w:rsidR="0032441D" w:rsidRDefault="0032441D" w:rsidP="00B95CC8"/>
        </w:tc>
        <w:tc>
          <w:tcPr>
            <w:tcW w:w="1701" w:type="dxa"/>
          </w:tcPr>
          <w:p w:rsidR="0032441D" w:rsidRDefault="0032441D" w:rsidP="00B95CC8"/>
        </w:tc>
      </w:tr>
      <w:tr w:rsidR="0032441D" w:rsidTr="00643D20">
        <w:tc>
          <w:tcPr>
            <w:tcW w:w="6521" w:type="dxa"/>
          </w:tcPr>
          <w:p w:rsidR="0032441D" w:rsidRPr="009760D0" w:rsidRDefault="0032441D" w:rsidP="00E9246A">
            <w:pPr>
              <w:pStyle w:val="ListParagraph"/>
              <w:numPr>
                <w:ilvl w:val="0"/>
                <w:numId w:val="9"/>
              </w:numPr>
              <w:rPr>
                <w:sz w:val="24"/>
                <w:szCs w:val="24"/>
              </w:rPr>
            </w:pPr>
            <w:r w:rsidRPr="009760D0">
              <w:rPr>
                <w:sz w:val="24"/>
                <w:szCs w:val="24"/>
              </w:rPr>
              <w:t>To ensure competitive bidding and a transparent process,</w:t>
            </w:r>
            <w:r w:rsidR="00773E67">
              <w:rPr>
                <w:sz w:val="24"/>
                <w:szCs w:val="24"/>
              </w:rPr>
              <w:t xml:space="preserve"> interested parties must send/deliver their</w:t>
            </w:r>
            <w:r w:rsidRPr="009760D0">
              <w:rPr>
                <w:sz w:val="24"/>
                <w:szCs w:val="24"/>
              </w:rPr>
              <w:t xml:space="preserve"> seal</w:t>
            </w:r>
            <w:r w:rsidR="00773E67">
              <w:rPr>
                <w:sz w:val="24"/>
                <w:szCs w:val="24"/>
              </w:rPr>
              <w:t>ed bids</w:t>
            </w:r>
            <w:r w:rsidRPr="009760D0">
              <w:rPr>
                <w:sz w:val="24"/>
                <w:szCs w:val="24"/>
              </w:rPr>
              <w:t xml:space="preserve"> to th</w:t>
            </w:r>
            <w:r w:rsidR="00A857A3">
              <w:rPr>
                <w:sz w:val="24"/>
                <w:szCs w:val="24"/>
              </w:rPr>
              <w:t>e Branch</w:t>
            </w:r>
            <w:r w:rsidR="00773E67">
              <w:rPr>
                <w:sz w:val="24"/>
                <w:szCs w:val="24"/>
              </w:rPr>
              <w:t xml:space="preserve"> Office, by the</w:t>
            </w:r>
            <w:r w:rsidR="00E9246A">
              <w:rPr>
                <w:sz w:val="24"/>
                <w:szCs w:val="24"/>
              </w:rPr>
              <w:t xml:space="preserve"> cut off time and date</w:t>
            </w:r>
            <w:r w:rsidR="00801581">
              <w:rPr>
                <w:sz w:val="24"/>
                <w:szCs w:val="24"/>
              </w:rPr>
              <w:t xml:space="preserve"> indicated in the “Invitation to B</w:t>
            </w:r>
            <w:r w:rsidR="00773E67">
              <w:rPr>
                <w:sz w:val="24"/>
                <w:szCs w:val="24"/>
              </w:rPr>
              <w:t>id”</w:t>
            </w:r>
            <w:r w:rsidR="00524845">
              <w:rPr>
                <w:sz w:val="24"/>
                <w:szCs w:val="24"/>
              </w:rPr>
              <w:t xml:space="preserve"> advertisement and </w:t>
            </w:r>
            <w:r w:rsidR="00801581">
              <w:rPr>
                <w:sz w:val="24"/>
                <w:szCs w:val="24"/>
              </w:rPr>
              <w:t>“Bid F</w:t>
            </w:r>
            <w:r w:rsidR="00524845">
              <w:rPr>
                <w:sz w:val="24"/>
                <w:szCs w:val="24"/>
              </w:rPr>
              <w:t>orm</w:t>
            </w:r>
            <w:r w:rsidR="00801581">
              <w:rPr>
                <w:sz w:val="24"/>
                <w:szCs w:val="24"/>
              </w:rPr>
              <w:t xml:space="preserve">” </w:t>
            </w:r>
            <w:r w:rsidR="00801581" w:rsidRPr="009760D0">
              <w:rPr>
                <w:sz w:val="24"/>
                <w:szCs w:val="24"/>
              </w:rPr>
              <w:t>(e.g. 11am, 27</w:t>
            </w:r>
            <w:r w:rsidR="00801581" w:rsidRPr="009760D0">
              <w:rPr>
                <w:sz w:val="24"/>
                <w:szCs w:val="24"/>
                <w:vertAlign w:val="superscript"/>
              </w:rPr>
              <w:t>th</w:t>
            </w:r>
            <w:r w:rsidR="00801581" w:rsidRPr="009760D0">
              <w:rPr>
                <w:sz w:val="24"/>
                <w:szCs w:val="24"/>
              </w:rPr>
              <w:t xml:space="preserve"> July 2018)</w:t>
            </w:r>
            <w:r w:rsidRPr="009760D0">
              <w:rPr>
                <w:sz w:val="24"/>
                <w:szCs w:val="24"/>
              </w:rPr>
              <w:t xml:space="preserve">. </w:t>
            </w:r>
            <w:r w:rsidR="00801581">
              <w:rPr>
                <w:sz w:val="24"/>
                <w:szCs w:val="24"/>
              </w:rPr>
              <w:t>Sealed e</w:t>
            </w:r>
            <w:r>
              <w:rPr>
                <w:sz w:val="24"/>
                <w:szCs w:val="24"/>
              </w:rPr>
              <w:t xml:space="preserve">nvelopes should be marked with the </w:t>
            </w:r>
            <w:r w:rsidR="00E9246A">
              <w:rPr>
                <w:sz w:val="24"/>
                <w:szCs w:val="24"/>
              </w:rPr>
              <w:t xml:space="preserve">“Invitation to Bid” reference number and the </w:t>
            </w:r>
            <w:r>
              <w:rPr>
                <w:sz w:val="24"/>
                <w:szCs w:val="24"/>
              </w:rPr>
              <w:t xml:space="preserve">name of the individual/company </w:t>
            </w:r>
            <w:r w:rsidR="00E9246A">
              <w:rPr>
                <w:sz w:val="24"/>
                <w:szCs w:val="24"/>
              </w:rPr>
              <w:t xml:space="preserve">submitting the bid. </w:t>
            </w:r>
          </w:p>
        </w:tc>
        <w:tc>
          <w:tcPr>
            <w:tcW w:w="1843" w:type="dxa"/>
          </w:tcPr>
          <w:p w:rsidR="0032441D" w:rsidRDefault="0032441D" w:rsidP="00B95CC8"/>
        </w:tc>
        <w:tc>
          <w:tcPr>
            <w:tcW w:w="1701" w:type="dxa"/>
          </w:tcPr>
          <w:p w:rsidR="0032441D" w:rsidRDefault="0032441D" w:rsidP="00B95CC8"/>
        </w:tc>
      </w:tr>
      <w:tr w:rsidR="00E9246A" w:rsidTr="00643D20">
        <w:tc>
          <w:tcPr>
            <w:tcW w:w="6521" w:type="dxa"/>
          </w:tcPr>
          <w:p w:rsidR="00E9246A" w:rsidRPr="009760D0" w:rsidRDefault="00E9246A" w:rsidP="00E9246A">
            <w:pPr>
              <w:pStyle w:val="ListParagraph"/>
              <w:numPr>
                <w:ilvl w:val="0"/>
                <w:numId w:val="9"/>
              </w:numPr>
              <w:rPr>
                <w:sz w:val="24"/>
                <w:szCs w:val="24"/>
              </w:rPr>
            </w:pPr>
            <w:r w:rsidRPr="009760D0">
              <w:rPr>
                <w:sz w:val="24"/>
                <w:szCs w:val="24"/>
              </w:rPr>
              <w:t>Record the bids received on a register list.</w:t>
            </w:r>
          </w:p>
        </w:tc>
        <w:tc>
          <w:tcPr>
            <w:tcW w:w="1843" w:type="dxa"/>
          </w:tcPr>
          <w:p w:rsidR="00E9246A" w:rsidRDefault="00E9246A" w:rsidP="00B95CC8"/>
        </w:tc>
        <w:tc>
          <w:tcPr>
            <w:tcW w:w="1701" w:type="dxa"/>
          </w:tcPr>
          <w:p w:rsidR="00E9246A" w:rsidRDefault="00E9246A" w:rsidP="00B95CC8"/>
        </w:tc>
      </w:tr>
      <w:tr w:rsidR="00E9246A" w:rsidTr="00643D20">
        <w:tc>
          <w:tcPr>
            <w:tcW w:w="6521" w:type="dxa"/>
          </w:tcPr>
          <w:p w:rsidR="00E9246A" w:rsidRPr="009760D0" w:rsidRDefault="00E9246A" w:rsidP="00E9246A">
            <w:pPr>
              <w:pStyle w:val="ListParagraph"/>
              <w:numPr>
                <w:ilvl w:val="0"/>
                <w:numId w:val="9"/>
              </w:numPr>
              <w:rPr>
                <w:sz w:val="24"/>
                <w:szCs w:val="24"/>
              </w:rPr>
            </w:pPr>
            <w:r w:rsidRPr="009760D0">
              <w:rPr>
                <w:sz w:val="24"/>
                <w:szCs w:val="24"/>
              </w:rPr>
              <w:t xml:space="preserve">The </w:t>
            </w:r>
            <w:r>
              <w:rPr>
                <w:sz w:val="24"/>
                <w:szCs w:val="24"/>
              </w:rPr>
              <w:t>“Bid Form”</w:t>
            </w:r>
            <w:r w:rsidRPr="009F4866">
              <w:rPr>
                <w:i/>
                <w:sz w:val="24"/>
                <w:szCs w:val="24"/>
              </w:rPr>
              <w:t xml:space="preserve"> (see attached template) </w:t>
            </w:r>
            <w:r>
              <w:rPr>
                <w:sz w:val="24"/>
                <w:szCs w:val="24"/>
              </w:rPr>
              <w:t>must be completed by all interested buyers, and signed and stamped</w:t>
            </w:r>
            <w:r w:rsidRPr="009760D0">
              <w:rPr>
                <w:sz w:val="24"/>
                <w:szCs w:val="24"/>
              </w:rPr>
              <w:t xml:space="preserve">. </w:t>
            </w:r>
            <w:r>
              <w:rPr>
                <w:sz w:val="24"/>
                <w:szCs w:val="24"/>
              </w:rPr>
              <w:t>“Bid Forms” submitted by email will not be accepted. Only bids using the “Bid Form”</w:t>
            </w:r>
            <w:r w:rsidR="00C25E1B">
              <w:rPr>
                <w:sz w:val="24"/>
                <w:szCs w:val="24"/>
              </w:rPr>
              <w:t xml:space="preserve"> template provided should</w:t>
            </w:r>
            <w:r>
              <w:rPr>
                <w:sz w:val="24"/>
                <w:szCs w:val="24"/>
              </w:rPr>
              <w:t xml:space="preserve"> be accepted.</w:t>
            </w:r>
          </w:p>
        </w:tc>
        <w:tc>
          <w:tcPr>
            <w:tcW w:w="1843" w:type="dxa"/>
          </w:tcPr>
          <w:p w:rsidR="00E9246A" w:rsidRDefault="00E9246A" w:rsidP="00B95CC8"/>
        </w:tc>
        <w:tc>
          <w:tcPr>
            <w:tcW w:w="1701" w:type="dxa"/>
          </w:tcPr>
          <w:p w:rsidR="00E9246A" w:rsidRDefault="00E9246A" w:rsidP="00B95CC8"/>
        </w:tc>
      </w:tr>
      <w:tr w:rsidR="0032441D" w:rsidTr="00643D20">
        <w:tc>
          <w:tcPr>
            <w:tcW w:w="6521" w:type="dxa"/>
          </w:tcPr>
          <w:p w:rsidR="0032441D" w:rsidRPr="009760D0" w:rsidRDefault="0032441D" w:rsidP="00E9246A">
            <w:pPr>
              <w:pStyle w:val="ListParagraph"/>
              <w:numPr>
                <w:ilvl w:val="0"/>
                <w:numId w:val="9"/>
              </w:numPr>
              <w:rPr>
                <w:sz w:val="24"/>
                <w:szCs w:val="24"/>
              </w:rPr>
            </w:pPr>
            <w:r w:rsidRPr="009760D0">
              <w:rPr>
                <w:sz w:val="24"/>
                <w:szCs w:val="24"/>
              </w:rPr>
              <w:t>Those interested can collect the</w:t>
            </w:r>
            <w:r w:rsidR="00524845">
              <w:rPr>
                <w:sz w:val="24"/>
                <w:szCs w:val="24"/>
              </w:rPr>
              <w:t xml:space="preserve"> </w:t>
            </w:r>
            <w:r w:rsidR="00E9246A">
              <w:rPr>
                <w:sz w:val="24"/>
                <w:szCs w:val="24"/>
              </w:rPr>
              <w:t>“B</w:t>
            </w:r>
            <w:r w:rsidR="00524845">
              <w:rPr>
                <w:sz w:val="24"/>
                <w:szCs w:val="24"/>
              </w:rPr>
              <w:t>id</w:t>
            </w:r>
            <w:r w:rsidR="00E9246A">
              <w:rPr>
                <w:sz w:val="24"/>
                <w:szCs w:val="24"/>
              </w:rPr>
              <w:t xml:space="preserve"> F</w:t>
            </w:r>
            <w:r w:rsidRPr="009760D0">
              <w:rPr>
                <w:sz w:val="24"/>
                <w:szCs w:val="24"/>
              </w:rPr>
              <w:t>orm</w:t>
            </w:r>
            <w:r w:rsidR="00E9246A">
              <w:rPr>
                <w:sz w:val="24"/>
                <w:szCs w:val="24"/>
              </w:rPr>
              <w:t>”</w:t>
            </w:r>
            <w:r w:rsidRPr="009760D0">
              <w:rPr>
                <w:sz w:val="24"/>
                <w:szCs w:val="24"/>
              </w:rPr>
              <w:t xml:space="preserve"> </w:t>
            </w:r>
            <w:r w:rsidR="009F4866">
              <w:rPr>
                <w:sz w:val="24"/>
                <w:szCs w:val="24"/>
              </w:rPr>
              <w:t>(</w:t>
            </w:r>
            <w:r w:rsidR="009F4866" w:rsidRPr="009F4866">
              <w:rPr>
                <w:i/>
                <w:sz w:val="24"/>
                <w:szCs w:val="24"/>
              </w:rPr>
              <w:t>see attached template</w:t>
            </w:r>
            <w:r w:rsidR="009F4866">
              <w:rPr>
                <w:sz w:val="24"/>
                <w:szCs w:val="24"/>
              </w:rPr>
              <w:t xml:space="preserve">) </w:t>
            </w:r>
            <w:r w:rsidRPr="009760D0">
              <w:rPr>
                <w:sz w:val="24"/>
                <w:szCs w:val="24"/>
              </w:rPr>
              <w:t>from</w:t>
            </w:r>
            <w:r w:rsidR="00A857A3">
              <w:rPr>
                <w:sz w:val="24"/>
                <w:szCs w:val="24"/>
              </w:rPr>
              <w:t xml:space="preserve"> the Branch</w:t>
            </w:r>
            <w:r w:rsidRPr="009760D0">
              <w:rPr>
                <w:sz w:val="24"/>
                <w:szCs w:val="24"/>
              </w:rPr>
              <w:t xml:space="preserve"> Office or have it sent by email (provide contact name and email address). </w:t>
            </w:r>
            <w:r w:rsidR="00E9246A">
              <w:rPr>
                <w:sz w:val="24"/>
                <w:szCs w:val="24"/>
              </w:rPr>
              <w:t>Set a deadline of</w:t>
            </w:r>
            <w:r w:rsidRPr="009760D0">
              <w:rPr>
                <w:sz w:val="24"/>
                <w:szCs w:val="24"/>
              </w:rPr>
              <w:t xml:space="preserve"> approximately one week for the form </w:t>
            </w:r>
            <w:r w:rsidRPr="009760D0">
              <w:rPr>
                <w:sz w:val="24"/>
                <w:szCs w:val="24"/>
              </w:rPr>
              <w:lastRenderedPageBreak/>
              <w:t>to be returned</w:t>
            </w:r>
            <w:r w:rsidR="00622BA9">
              <w:rPr>
                <w:sz w:val="24"/>
                <w:szCs w:val="24"/>
              </w:rPr>
              <w:t xml:space="preserve"> (from the date the advert is closed)</w:t>
            </w:r>
            <w:r w:rsidRPr="009760D0">
              <w:rPr>
                <w:sz w:val="24"/>
                <w:szCs w:val="24"/>
              </w:rPr>
              <w:t>, depending on how quickly the vehicle(s) need to be sold.</w:t>
            </w:r>
          </w:p>
        </w:tc>
        <w:tc>
          <w:tcPr>
            <w:tcW w:w="1843" w:type="dxa"/>
          </w:tcPr>
          <w:p w:rsidR="0032441D" w:rsidRDefault="0032441D" w:rsidP="00B95CC8"/>
        </w:tc>
        <w:tc>
          <w:tcPr>
            <w:tcW w:w="1701" w:type="dxa"/>
          </w:tcPr>
          <w:p w:rsidR="0032441D" w:rsidRDefault="0032441D" w:rsidP="00B95CC8"/>
        </w:tc>
      </w:tr>
      <w:tr w:rsidR="00A56559" w:rsidTr="00643D20">
        <w:tc>
          <w:tcPr>
            <w:tcW w:w="6521" w:type="dxa"/>
          </w:tcPr>
          <w:p w:rsidR="00A56559" w:rsidRPr="009760D0" w:rsidRDefault="00A56559" w:rsidP="009760D0">
            <w:pPr>
              <w:pStyle w:val="ListParagraph"/>
              <w:numPr>
                <w:ilvl w:val="0"/>
                <w:numId w:val="9"/>
              </w:numPr>
              <w:rPr>
                <w:sz w:val="24"/>
                <w:szCs w:val="24"/>
              </w:rPr>
            </w:pPr>
            <w:r>
              <w:rPr>
                <w:sz w:val="24"/>
                <w:szCs w:val="24"/>
              </w:rPr>
              <w:t>Prospective buyers may submit bids for one or more “Lot” depending how many vehicles are for sale.</w:t>
            </w:r>
          </w:p>
        </w:tc>
        <w:tc>
          <w:tcPr>
            <w:tcW w:w="1843" w:type="dxa"/>
          </w:tcPr>
          <w:p w:rsidR="00A56559" w:rsidRDefault="00A56559" w:rsidP="00B95CC8"/>
        </w:tc>
        <w:tc>
          <w:tcPr>
            <w:tcW w:w="1701" w:type="dxa"/>
          </w:tcPr>
          <w:p w:rsidR="00A56559" w:rsidRDefault="00A56559" w:rsidP="00B95CC8"/>
        </w:tc>
      </w:tr>
      <w:tr w:rsidR="0032441D" w:rsidTr="00643D20">
        <w:tc>
          <w:tcPr>
            <w:tcW w:w="6521" w:type="dxa"/>
          </w:tcPr>
          <w:p w:rsidR="0032441D" w:rsidRPr="009760D0" w:rsidRDefault="00D16F3F" w:rsidP="001178C5">
            <w:pPr>
              <w:pStyle w:val="ListParagraph"/>
              <w:numPr>
                <w:ilvl w:val="0"/>
                <w:numId w:val="9"/>
              </w:numPr>
              <w:rPr>
                <w:sz w:val="24"/>
                <w:szCs w:val="24"/>
              </w:rPr>
            </w:pPr>
            <w:r>
              <w:rPr>
                <w:sz w:val="24"/>
                <w:szCs w:val="24"/>
              </w:rPr>
              <w:t xml:space="preserve">Red Cross staff members and volunteers </w:t>
            </w:r>
            <w:r w:rsidR="0032441D" w:rsidRPr="005F3495">
              <w:rPr>
                <w:sz w:val="24"/>
                <w:szCs w:val="24"/>
              </w:rPr>
              <w:t xml:space="preserve">are permitted </w:t>
            </w:r>
            <w:r>
              <w:rPr>
                <w:sz w:val="24"/>
                <w:szCs w:val="24"/>
              </w:rPr>
              <w:t>to bid for the vehicle</w:t>
            </w:r>
            <w:r w:rsidR="002055D7">
              <w:rPr>
                <w:sz w:val="24"/>
                <w:szCs w:val="24"/>
              </w:rPr>
              <w:t>(</w:t>
            </w:r>
            <w:r>
              <w:rPr>
                <w:sz w:val="24"/>
                <w:szCs w:val="24"/>
              </w:rPr>
              <w:t>s</w:t>
            </w:r>
            <w:r w:rsidR="002055D7">
              <w:rPr>
                <w:sz w:val="24"/>
                <w:szCs w:val="24"/>
              </w:rPr>
              <w:t>)</w:t>
            </w:r>
            <w:r>
              <w:rPr>
                <w:sz w:val="24"/>
                <w:szCs w:val="24"/>
              </w:rPr>
              <w:t>. However, a</w:t>
            </w:r>
            <w:r w:rsidRPr="005F3495">
              <w:rPr>
                <w:sz w:val="24"/>
                <w:szCs w:val="24"/>
              </w:rPr>
              <w:t>ny staff bidding</w:t>
            </w:r>
            <w:r>
              <w:rPr>
                <w:sz w:val="24"/>
                <w:szCs w:val="24"/>
              </w:rPr>
              <w:t xml:space="preserve"> for the vehicles will be automatically excluded from the decision panel, and all panel members must sign a ‘Declaration of Impartiality’. To ensure </w:t>
            </w:r>
            <w:r w:rsidR="0032441D" w:rsidRPr="005F3495">
              <w:rPr>
                <w:sz w:val="24"/>
                <w:szCs w:val="24"/>
              </w:rPr>
              <w:t>an open and transparent bid process</w:t>
            </w:r>
            <w:r>
              <w:rPr>
                <w:sz w:val="24"/>
                <w:szCs w:val="24"/>
              </w:rPr>
              <w:t>,</w:t>
            </w:r>
            <w:r w:rsidR="0032441D" w:rsidRPr="005F3495">
              <w:rPr>
                <w:sz w:val="24"/>
                <w:szCs w:val="24"/>
              </w:rPr>
              <w:t xml:space="preserve"> all</w:t>
            </w:r>
            <w:r>
              <w:rPr>
                <w:sz w:val="24"/>
                <w:szCs w:val="24"/>
              </w:rPr>
              <w:t xml:space="preserve"> interested</w:t>
            </w:r>
            <w:r w:rsidR="0032441D" w:rsidRPr="005F3495">
              <w:rPr>
                <w:sz w:val="24"/>
                <w:szCs w:val="24"/>
              </w:rPr>
              <w:t xml:space="preserve"> staff members </w:t>
            </w:r>
            <w:r w:rsidR="00A857A3">
              <w:rPr>
                <w:sz w:val="24"/>
                <w:szCs w:val="24"/>
              </w:rPr>
              <w:t xml:space="preserve">and volunteers </w:t>
            </w:r>
            <w:r>
              <w:rPr>
                <w:sz w:val="24"/>
                <w:szCs w:val="24"/>
              </w:rPr>
              <w:t xml:space="preserve">must </w:t>
            </w:r>
            <w:r w:rsidR="0032441D" w:rsidRPr="005F3495">
              <w:rPr>
                <w:sz w:val="24"/>
                <w:szCs w:val="24"/>
              </w:rPr>
              <w:t>follow the same procedure (with bids submitted in sealed envelopes)</w:t>
            </w:r>
            <w:r>
              <w:rPr>
                <w:sz w:val="24"/>
                <w:szCs w:val="24"/>
              </w:rPr>
              <w:t xml:space="preserve"> as other interested parties</w:t>
            </w:r>
            <w:r w:rsidR="0032441D" w:rsidRPr="005F3495">
              <w:rPr>
                <w:sz w:val="24"/>
                <w:szCs w:val="24"/>
              </w:rPr>
              <w:t xml:space="preserve">. </w:t>
            </w:r>
          </w:p>
        </w:tc>
        <w:tc>
          <w:tcPr>
            <w:tcW w:w="1843" w:type="dxa"/>
          </w:tcPr>
          <w:p w:rsidR="0032441D" w:rsidRDefault="0032441D" w:rsidP="00B95CC8"/>
        </w:tc>
        <w:tc>
          <w:tcPr>
            <w:tcW w:w="1701" w:type="dxa"/>
          </w:tcPr>
          <w:p w:rsidR="0032441D" w:rsidRDefault="0032441D" w:rsidP="00B95CC8"/>
        </w:tc>
      </w:tr>
      <w:tr w:rsidR="0032441D" w:rsidTr="00643D20">
        <w:tc>
          <w:tcPr>
            <w:tcW w:w="6521" w:type="dxa"/>
          </w:tcPr>
          <w:p w:rsidR="0032441D" w:rsidRPr="009760D0" w:rsidRDefault="00576B06" w:rsidP="002055D7">
            <w:pPr>
              <w:pStyle w:val="ListParagraph"/>
              <w:numPr>
                <w:ilvl w:val="0"/>
                <w:numId w:val="9"/>
              </w:numPr>
              <w:rPr>
                <w:sz w:val="24"/>
                <w:szCs w:val="24"/>
              </w:rPr>
            </w:pPr>
            <w:r>
              <w:rPr>
                <w:sz w:val="24"/>
                <w:szCs w:val="24"/>
              </w:rPr>
              <w:t>Potential buyers should be encouraged to inspect the vehicle(s)</w:t>
            </w:r>
            <w:r w:rsidRPr="009760D0">
              <w:rPr>
                <w:sz w:val="24"/>
                <w:szCs w:val="24"/>
              </w:rPr>
              <w:t xml:space="preserve"> before </w:t>
            </w:r>
            <w:r>
              <w:rPr>
                <w:sz w:val="24"/>
                <w:szCs w:val="24"/>
              </w:rPr>
              <w:t xml:space="preserve">they </w:t>
            </w:r>
            <w:r w:rsidRPr="009760D0">
              <w:rPr>
                <w:sz w:val="24"/>
                <w:szCs w:val="24"/>
              </w:rPr>
              <w:t>submit</w:t>
            </w:r>
            <w:r>
              <w:rPr>
                <w:sz w:val="24"/>
                <w:szCs w:val="24"/>
              </w:rPr>
              <w:t xml:space="preserve"> a</w:t>
            </w:r>
            <w:r w:rsidRPr="009760D0">
              <w:rPr>
                <w:sz w:val="24"/>
                <w:szCs w:val="24"/>
              </w:rPr>
              <w:t xml:space="preserve"> bid</w:t>
            </w:r>
            <w:r>
              <w:rPr>
                <w:sz w:val="24"/>
                <w:szCs w:val="24"/>
              </w:rPr>
              <w:t>.</w:t>
            </w:r>
            <w:r w:rsidRPr="009760D0">
              <w:rPr>
                <w:sz w:val="24"/>
                <w:szCs w:val="24"/>
              </w:rPr>
              <w:t xml:space="preserve"> Details of where and when they can inspect the vehicle will be given in the advertisement for the sale</w:t>
            </w:r>
            <w:r>
              <w:rPr>
                <w:sz w:val="24"/>
                <w:szCs w:val="24"/>
              </w:rPr>
              <w:t xml:space="preserve"> </w:t>
            </w:r>
            <w:r w:rsidRPr="009760D0">
              <w:rPr>
                <w:sz w:val="24"/>
                <w:szCs w:val="24"/>
              </w:rPr>
              <w:t>(</w:t>
            </w:r>
            <w:r>
              <w:rPr>
                <w:sz w:val="24"/>
                <w:szCs w:val="24"/>
              </w:rPr>
              <w:t>viewings should be arranged with the Branch focal point)</w:t>
            </w:r>
            <w:r w:rsidRPr="009760D0">
              <w:rPr>
                <w:sz w:val="24"/>
                <w:szCs w:val="24"/>
              </w:rPr>
              <w:t>.</w:t>
            </w:r>
          </w:p>
        </w:tc>
        <w:tc>
          <w:tcPr>
            <w:tcW w:w="1843" w:type="dxa"/>
          </w:tcPr>
          <w:p w:rsidR="0032441D" w:rsidRDefault="0032441D" w:rsidP="00B95CC8"/>
        </w:tc>
        <w:tc>
          <w:tcPr>
            <w:tcW w:w="1701" w:type="dxa"/>
          </w:tcPr>
          <w:p w:rsidR="0032441D" w:rsidRDefault="0032441D" w:rsidP="00B95CC8"/>
        </w:tc>
      </w:tr>
      <w:tr w:rsidR="00A11806" w:rsidTr="00643D20">
        <w:tc>
          <w:tcPr>
            <w:tcW w:w="6521" w:type="dxa"/>
          </w:tcPr>
          <w:p w:rsidR="00A11806" w:rsidRPr="009760D0" w:rsidRDefault="00A11806" w:rsidP="000C5379">
            <w:pPr>
              <w:pStyle w:val="ListParagraph"/>
              <w:numPr>
                <w:ilvl w:val="0"/>
                <w:numId w:val="9"/>
              </w:numPr>
              <w:rPr>
                <w:sz w:val="24"/>
                <w:szCs w:val="24"/>
              </w:rPr>
            </w:pPr>
            <w:r>
              <w:rPr>
                <w:sz w:val="24"/>
                <w:szCs w:val="24"/>
              </w:rPr>
              <w:t xml:space="preserve">Bidders must submit a copy of a recognised form of ID along with their bid offer. </w:t>
            </w:r>
          </w:p>
        </w:tc>
        <w:tc>
          <w:tcPr>
            <w:tcW w:w="1843" w:type="dxa"/>
          </w:tcPr>
          <w:p w:rsidR="00A11806" w:rsidRDefault="00A11806" w:rsidP="00B95CC8"/>
        </w:tc>
        <w:tc>
          <w:tcPr>
            <w:tcW w:w="1701" w:type="dxa"/>
          </w:tcPr>
          <w:p w:rsidR="00A11806" w:rsidRDefault="00A11806" w:rsidP="00B95CC8"/>
        </w:tc>
      </w:tr>
      <w:tr w:rsidR="0032441D" w:rsidTr="00643D20">
        <w:tc>
          <w:tcPr>
            <w:tcW w:w="6521" w:type="dxa"/>
          </w:tcPr>
          <w:p w:rsidR="0032441D" w:rsidRPr="000C5379" w:rsidRDefault="0032441D" w:rsidP="000C5379">
            <w:pPr>
              <w:pStyle w:val="ListParagraph"/>
              <w:numPr>
                <w:ilvl w:val="0"/>
                <w:numId w:val="9"/>
              </w:numPr>
              <w:rPr>
                <w:sz w:val="24"/>
                <w:szCs w:val="24"/>
              </w:rPr>
            </w:pPr>
            <w:r w:rsidRPr="009760D0">
              <w:rPr>
                <w:sz w:val="24"/>
                <w:szCs w:val="24"/>
              </w:rPr>
              <w:t>Offers should be made in the currency for</w:t>
            </w:r>
            <w:r w:rsidR="00A857A3">
              <w:rPr>
                <w:sz w:val="24"/>
                <w:szCs w:val="24"/>
              </w:rPr>
              <w:t xml:space="preserve"> which the Branch</w:t>
            </w:r>
            <w:r w:rsidRPr="009760D0">
              <w:rPr>
                <w:sz w:val="24"/>
                <w:szCs w:val="24"/>
              </w:rPr>
              <w:t xml:space="preserve"> has a bank account, and as stipulated in the </w:t>
            </w:r>
            <w:r w:rsidR="00F91969">
              <w:rPr>
                <w:sz w:val="24"/>
                <w:szCs w:val="24"/>
              </w:rPr>
              <w:t xml:space="preserve">“Bid </w:t>
            </w:r>
            <w:r w:rsidRPr="009760D0">
              <w:rPr>
                <w:sz w:val="24"/>
                <w:szCs w:val="24"/>
              </w:rPr>
              <w:t>form</w:t>
            </w:r>
            <w:r w:rsidR="00F91969">
              <w:rPr>
                <w:sz w:val="24"/>
                <w:szCs w:val="24"/>
              </w:rPr>
              <w:t>”</w:t>
            </w:r>
            <w:r w:rsidRPr="009760D0">
              <w:rPr>
                <w:sz w:val="24"/>
                <w:szCs w:val="24"/>
              </w:rPr>
              <w:t>.</w:t>
            </w:r>
          </w:p>
        </w:tc>
        <w:tc>
          <w:tcPr>
            <w:tcW w:w="1843" w:type="dxa"/>
          </w:tcPr>
          <w:p w:rsidR="0032441D" w:rsidRDefault="0032441D" w:rsidP="00B95CC8"/>
        </w:tc>
        <w:tc>
          <w:tcPr>
            <w:tcW w:w="1701" w:type="dxa"/>
          </w:tcPr>
          <w:p w:rsidR="0032441D" w:rsidRDefault="0032441D" w:rsidP="00B95CC8"/>
        </w:tc>
      </w:tr>
      <w:tr w:rsidR="00622BA9" w:rsidTr="00643D20">
        <w:tc>
          <w:tcPr>
            <w:tcW w:w="6521" w:type="dxa"/>
          </w:tcPr>
          <w:p w:rsidR="00622BA9" w:rsidRPr="009760D0" w:rsidRDefault="00622BA9" w:rsidP="000C5379">
            <w:pPr>
              <w:pStyle w:val="ListParagraph"/>
              <w:numPr>
                <w:ilvl w:val="0"/>
                <w:numId w:val="9"/>
              </w:numPr>
              <w:rPr>
                <w:sz w:val="24"/>
                <w:szCs w:val="24"/>
              </w:rPr>
            </w:pPr>
            <w:r>
              <w:rPr>
                <w:sz w:val="24"/>
                <w:szCs w:val="24"/>
              </w:rPr>
              <w:t xml:space="preserve">Acceptable means of payment will </w:t>
            </w:r>
            <w:r w:rsidR="00801581">
              <w:rPr>
                <w:sz w:val="24"/>
                <w:szCs w:val="24"/>
              </w:rPr>
              <w:t>be listed in the “Invitation to B</w:t>
            </w:r>
            <w:r>
              <w:rPr>
                <w:sz w:val="24"/>
                <w:szCs w:val="24"/>
              </w:rPr>
              <w:t>id</w:t>
            </w:r>
            <w:r w:rsidR="00801581">
              <w:rPr>
                <w:sz w:val="24"/>
                <w:szCs w:val="24"/>
              </w:rPr>
              <w:t>”</w:t>
            </w:r>
            <w:r>
              <w:rPr>
                <w:sz w:val="24"/>
                <w:szCs w:val="24"/>
              </w:rPr>
              <w:t xml:space="preserve"> (e.g. cash, cheque, bank transfer). </w:t>
            </w:r>
            <w:r w:rsidR="00A4144A">
              <w:rPr>
                <w:sz w:val="24"/>
                <w:szCs w:val="24"/>
              </w:rPr>
              <w:t>Bank</w:t>
            </w:r>
            <w:r w:rsidR="008537A7">
              <w:rPr>
                <w:sz w:val="24"/>
                <w:szCs w:val="24"/>
              </w:rPr>
              <w:t xml:space="preserve"> details should only be given in the invoice</w:t>
            </w:r>
            <w:r w:rsidR="00A4144A">
              <w:rPr>
                <w:sz w:val="24"/>
                <w:szCs w:val="24"/>
              </w:rPr>
              <w:t xml:space="preserve"> </w:t>
            </w:r>
            <w:r w:rsidR="008537A7">
              <w:rPr>
                <w:sz w:val="24"/>
                <w:szCs w:val="24"/>
              </w:rPr>
              <w:t xml:space="preserve">after </w:t>
            </w:r>
            <w:r w:rsidR="00A4144A">
              <w:rPr>
                <w:sz w:val="24"/>
                <w:szCs w:val="24"/>
              </w:rPr>
              <w:t>the contract of sale</w:t>
            </w:r>
            <w:r w:rsidR="00A857A3">
              <w:rPr>
                <w:sz w:val="24"/>
                <w:szCs w:val="24"/>
              </w:rPr>
              <w:t xml:space="preserve"> </w:t>
            </w:r>
            <w:r w:rsidR="008537A7">
              <w:rPr>
                <w:sz w:val="24"/>
                <w:szCs w:val="24"/>
              </w:rPr>
              <w:t xml:space="preserve">has been signed </w:t>
            </w:r>
            <w:r w:rsidR="00A857A3" w:rsidRPr="00A857A3">
              <w:rPr>
                <w:i/>
                <w:sz w:val="24"/>
                <w:szCs w:val="24"/>
              </w:rPr>
              <w:t>(see attached template)</w:t>
            </w:r>
            <w:r w:rsidR="001D495C">
              <w:rPr>
                <w:i/>
                <w:sz w:val="24"/>
                <w:szCs w:val="24"/>
              </w:rPr>
              <w:t xml:space="preserve"> </w:t>
            </w:r>
            <w:r w:rsidR="001D495C" w:rsidRPr="001D495C">
              <w:rPr>
                <w:sz w:val="24"/>
                <w:szCs w:val="24"/>
              </w:rPr>
              <w:t>to avoid any pre-payments being made before a decision has been reached.</w:t>
            </w:r>
            <w:r w:rsidR="001D495C">
              <w:rPr>
                <w:i/>
                <w:sz w:val="24"/>
                <w:szCs w:val="24"/>
              </w:rPr>
              <w:t xml:space="preserve"> </w:t>
            </w:r>
          </w:p>
        </w:tc>
        <w:tc>
          <w:tcPr>
            <w:tcW w:w="1843" w:type="dxa"/>
          </w:tcPr>
          <w:p w:rsidR="00622BA9" w:rsidRDefault="00622BA9" w:rsidP="00B95CC8"/>
        </w:tc>
        <w:tc>
          <w:tcPr>
            <w:tcW w:w="1701" w:type="dxa"/>
          </w:tcPr>
          <w:p w:rsidR="00622BA9" w:rsidRDefault="00622BA9" w:rsidP="00B95CC8"/>
        </w:tc>
      </w:tr>
    </w:tbl>
    <w:p w:rsidR="00B95CC8" w:rsidRPr="00781AAE" w:rsidRDefault="00B95CC8" w:rsidP="00461926"/>
    <w:p w:rsidR="002D2ABF" w:rsidRDefault="002D2ABF" w:rsidP="002D2ABF">
      <w:pPr>
        <w:pStyle w:val="Heading1"/>
        <w:rPr>
          <w:rFonts w:asciiTheme="minorHAnsi" w:hAnsiTheme="minorHAnsi" w:cstheme="minorHAnsi"/>
          <w:color w:val="FF0000"/>
          <w:sz w:val="36"/>
          <w:szCs w:val="36"/>
        </w:rPr>
      </w:pPr>
      <w:r w:rsidRPr="002D2ABF">
        <w:rPr>
          <w:rFonts w:asciiTheme="minorHAnsi" w:hAnsiTheme="minorHAnsi" w:cstheme="minorHAnsi"/>
          <w:color w:val="FF0000"/>
          <w:sz w:val="36"/>
          <w:szCs w:val="36"/>
        </w:rPr>
        <w:t>Bid Opening</w:t>
      </w:r>
    </w:p>
    <w:tbl>
      <w:tblPr>
        <w:tblStyle w:val="TableGrid"/>
        <w:tblW w:w="10065" w:type="dxa"/>
        <w:tblInd w:w="-289" w:type="dxa"/>
        <w:tblLayout w:type="fixed"/>
        <w:tblLook w:val="04A0" w:firstRow="1" w:lastRow="0" w:firstColumn="1" w:lastColumn="0" w:noHBand="0" w:noVBand="1"/>
      </w:tblPr>
      <w:tblGrid>
        <w:gridCol w:w="6521"/>
        <w:gridCol w:w="1843"/>
        <w:gridCol w:w="1701"/>
      </w:tblGrid>
      <w:tr w:rsidR="0032441D" w:rsidTr="00CD49FA">
        <w:tc>
          <w:tcPr>
            <w:tcW w:w="6521" w:type="dxa"/>
            <w:shd w:val="clear" w:color="auto" w:fill="E7E6E6" w:themeFill="background2"/>
          </w:tcPr>
          <w:p w:rsidR="0032441D" w:rsidRPr="00B95CC8" w:rsidRDefault="0032441D" w:rsidP="006B016B">
            <w:pPr>
              <w:jc w:val="center"/>
              <w:rPr>
                <w:sz w:val="24"/>
                <w:szCs w:val="24"/>
              </w:rPr>
            </w:pPr>
            <w:r w:rsidRPr="00B95CC8">
              <w:rPr>
                <w:sz w:val="24"/>
                <w:szCs w:val="24"/>
              </w:rPr>
              <w:t>Steps to take</w:t>
            </w:r>
          </w:p>
        </w:tc>
        <w:tc>
          <w:tcPr>
            <w:tcW w:w="1843" w:type="dxa"/>
            <w:shd w:val="clear" w:color="auto" w:fill="E7E6E6" w:themeFill="background2"/>
          </w:tcPr>
          <w:p w:rsidR="0032441D" w:rsidRDefault="00BB2826" w:rsidP="00BB2826">
            <w:pPr>
              <w:pStyle w:val="ListParagraph"/>
              <w:ind w:left="0"/>
              <w:rPr>
                <w:sz w:val="24"/>
                <w:szCs w:val="24"/>
              </w:rPr>
            </w:pPr>
            <w:r>
              <w:rPr>
                <w:sz w:val="24"/>
                <w:szCs w:val="24"/>
              </w:rPr>
              <w:t>Lead person responsible</w:t>
            </w:r>
          </w:p>
          <w:p w:rsidR="00B074A6" w:rsidRPr="00BB2826" w:rsidRDefault="00B074A6" w:rsidP="00BB2826">
            <w:pPr>
              <w:pStyle w:val="ListParagraph"/>
              <w:ind w:left="0"/>
              <w:rPr>
                <w:sz w:val="24"/>
                <w:szCs w:val="24"/>
              </w:rPr>
            </w:pPr>
            <w:r>
              <w:rPr>
                <w:sz w:val="24"/>
                <w:szCs w:val="24"/>
              </w:rPr>
              <w:t>(to be assigned by Branch)</w:t>
            </w:r>
          </w:p>
        </w:tc>
        <w:tc>
          <w:tcPr>
            <w:tcW w:w="1701" w:type="dxa"/>
            <w:shd w:val="clear" w:color="auto" w:fill="E7E6E6" w:themeFill="background2"/>
          </w:tcPr>
          <w:p w:rsidR="00B074A6" w:rsidRPr="00B074A6" w:rsidRDefault="0032441D" w:rsidP="006B016B">
            <w:pPr>
              <w:pStyle w:val="ListParagraph"/>
              <w:numPr>
                <w:ilvl w:val="0"/>
                <w:numId w:val="7"/>
              </w:numPr>
              <w:rPr>
                <w:color w:val="FF0000"/>
                <w:sz w:val="24"/>
                <w:szCs w:val="24"/>
              </w:rPr>
            </w:pPr>
            <w:r w:rsidRPr="00B95CC8">
              <w:rPr>
                <w:color w:val="FF0000"/>
                <w:sz w:val="24"/>
                <w:szCs w:val="24"/>
              </w:rPr>
              <w:t xml:space="preserve"> </w:t>
            </w:r>
            <w:r w:rsidRPr="00B95CC8">
              <w:rPr>
                <w:sz w:val="24"/>
                <w:szCs w:val="24"/>
              </w:rPr>
              <w:t>Tick box when checked/</w:t>
            </w:r>
          </w:p>
          <w:p w:rsidR="0032441D" w:rsidRPr="00B95CC8" w:rsidRDefault="0032441D" w:rsidP="00B074A6">
            <w:pPr>
              <w:pStyle w:val="ListParagraph"/>
              <w:ind w:left="360"/>
              <w:rPr>
                <w:color w:val="FF0000"/>
                <w:sz w:val="24"/>
                <w:szCs w:val="24"/>
              </w:rPr>
            </w:pPr>
            <w:r w:rsidRPr="00B95CC8">
              <w:rPr>
                <w:sz w:val="24"/>
                <w:szCs w:val="24"/>
              </w:rPr>
              <w:t>completed</w:t>
            </w:r>
          </w:p>
        </w:tc>
      </w:tr>
      <w:tr w:rsidR="0032441D" w:rsidTr="00CD49FA">
        <w:tc>
          <w:tcPr>
            <w:tcW w:w="6521" w:type="dxa"/>
          </w:tcPr>
          <w:p w:rsidR="0032441D" w:rsidRPr="006B016B" w:rsidRDefault="0032441D" w:rsidP="006B016B">
            <w:pPr>
              <w:pStyle w:val="ListParagraph"/>
              <w:numPr>
                <w:ilvl w:val="0"/>
                <w:numId w:val="12"/>
              </w:numPr>
              <w:rPr>
                <w:sz w:val="24"/>
                <w:szCs w:val="24"/>
              </w:rPr>
            </w:pPr>
            <w:r w:rsidRPr="006B016B">
              <w:rPr>
                <w:sz w:val="24"/>
                <w:szCs w:val="24"/>
              </w:rPr>
              <w:t xml:space="preserve">The bid opening should take place at the agreed time and place, as per the </w:t>
            </w:r>
            <w:r w:rsidR="00393B32">
              <w:rPr>
                <w:sz w:val="24"/>
                <w:szCs w:val="24"/>
              </w:rPr>
              <w:t>“</w:t>
            </w:r>
            <w:r w:rsidRPr="006B016B">
              <w:rPr>
                <w:sz w:val="24"/>
                <w:szCs w:val="24"/>
              </w:rPr>
              <w:t>Invitation to Bid</w:t>
            </w:r>
            <w:r w:rsidR="00393B32">
              <w:rPr>
                <w:sz w:val="24"/>
                <w:szCs w:val="24"/>
              </w:rPr>
              <w:t>”</w:t>
            </w:r>
            <w:r w:rsidRPr="006B016B">
              <w:rPr>
                <w:sz w:val="24"/>
                <w:szCs w:val="24"/>
              </w:rPr>
              <w:t>.</w:t>
            </w:r>
          </w:p>
        </w:tc>
        <w:tc>
          <w:tcPr>
            <w:tcW w:w="1843" w:type="dxa"/>
          </w:tcPr>
          <w:p w:rsidR="0032441D" w:rsidRDefault="0032441D" w:rsidP="006B016B"/>
        </w:tc>
        <w:tc>
          <w:tcPr>
            <w:tcW w:w="1701" w:type="dxa"/>
          </w:tcPr>
          <w:p w:rsidR="0032441D" w:rsidRDefault="0032441D" w:rsidP="006B016B"/>
        </w:tc>
      </w:tr>
      <w:tr w:rsidR="0032441D" w:rsidTr="00CD49FA">
        <w:tc>
          <w:tcPr>
            <w:tcW w:w="6521" w:type="dxa"/>
          </w:tcPr>
          <w:p w:rsidR="0032441D" w:rsidRPr="006B016B" w:rsidRDefault="0032441D" w:rsidP="00576B06">
            <w:pPr>
              <w:pStyle w:val="ListParagraph"/>
              <w:numPr>
                <w:ilvl w:val="0"/>
                <w:numId w:val="12"/>
              </w:numPr>
              <w:rPr>
                <w:sz w:val="24"/>
                <w:szCs w:val="24"/>
              </w:rPr>
            </w:pPr>
            <w:r w:rsidRPr="006B016B">
              <w:rPr>
                <w:sz w:val="24"/>
                <w:szCs w:val="24"/>
              </w:rPr>
              <w:t>The bid opening should be attended by at least 3 members of branch staff/board members, including representatives from logistics and finance where possible</w:t>
            </w:r>
            <w:r w:rsidR="00576B06">
              <w:rPr>
                <w:sz w:val="24"/>
                <w:szCs w:val="24"/>
              </w:rPr>
              <w:t xml:space="preserve"> and either the Branch Director or a board member</w:t>
            </w:r>
            <w:r w:rsidRPr="006B016B">
              <w:rPr>
                <w:sz w:val="24"/>
                <w:szCs w:val="24"/>
              </w:rPr>
              <w:t>.</w:t>
            </w:r>
          </w:p>
        </w:tc>
        <w:tc>
          <w:tcPr>
            <w:tcW w:w="1843" w:type="dxa"/>
          </w:tcPr>
          <w:p w:rsidR="0032441D" w:rsidRDefault="0032441D" w:rsidP="006B016B"/>
        </w:tc>
        <w:tc>
          <w:tcPr>
            <w:tcW w:w="1701" w:type="dxa"/>
          </w:tcPr>
          <w:p w:rsidR="0032441D" w:rsidRDefault="0032441D" w:rsidP="006B016B"/>
        </w:tc>
      </w:tr>
      <w:tr w:rsidR="001178C5" w:rsidTr="00CD49FA">
        <w:tc>
          <w:tcPr>
            <w:tcW w:w="6521" w:type="dxa"/>
          </w:tcPr>
          <w:p w:rsidR="001178C5" w:rsidRPr="006B016B" w:rsidRDefault="001178C5" w:rsidP="006B016B">
            <w:pPr>
              <w:pStyle w:val="ListParagraph"/>
              <w:numPr>
                <w:ilvl w:val="0"/>
                <w:numId w:val="12"/>
              </w:numPr>
              <w:rPr>
                <w:sz w:val="24"/>
                <w:szCs w:val="24"/>
              </w:rPr>
            </w:pPr>
            <w:r>
              <w:rPr>
                <w:sz w:val="24"/>
                <w:szCs w:val="24"/>
              </w:rPr>
              <w:t>A</w:t>
            </w:r>
            <w:r w:rsidRPr="005F3495">
              <w:rPr>
                <w:sz w:val="24"/>
                <w:szCs w:val="24"/>
              </w:rPr>
              <w:t>ll potential buyers may attend the bid opening along with the 3 re</w:t>
            </w:r>
            <w:r>
              <w:rPr>
                <w:sz w:val="24"/>
                <w:szCs w:val="24"/>
              </w:rPr>
              <w:t>presentatives from the Branch</w:t>
            </w:r>
            <w:r w:rsidRPr="005F3495">
              <w:rPr>
                <w:sz w:val="24"/>
                <w:szCs w:val="24"/>
              </w:rPr>
              <w:t>.</w:t>
            </w:r>
          </w:p>
        </w:tc>
        <w:tc>
          <w:tcPr>
            <w:tcW w:w="1843" w:type="dxa"/>
          </w:tcPr>
          <w:p w:rsidR="001178C5" w:rsidRDefault="001178C5" w:rsidP="006B016B"/>
        </w:tc>
        <w:tc>
          <w:tcPr>
            <w:tcW w:w="1701" w:type="dxa"/>
          </w:tcPr>
          <w:p w:rsidR="001178C5" w:rsidRDefault="001178C5" w:rsidP="006B016B"/>
        </w:tc>
      </w:tr>
      <w:tr w:rsidR="0032441D" w:rsidTr="00CD49FA">
        <w:tc>
          <w:tcPr>
            <w:tcW w:w="6521" w:type="dxa"/>
          </w:tcPr>
          <w:p w:rsidR="0032441D" w:rsidRPr="00576B06" w:rsidRDefault="0032441D" w:rsidP="00576B06">
            <w:pPr>
              <w:pStyle w:val="ListParagraph"/>
              <w:numPr>
                <w:ilvl w:val="0"/>
                <w:numId w:val="12"/>
              </w:numPr>
              <w:rPr>
                <w:sz w:val="24"/>
                <w:szCs w:val="24"/>
              </w:rPr>
            </w:pPr>
            <w:r w:rsidRPr="006B016B">
              <w:rPr>
                <w:sz w:val="24"/>
                <w:szCs w:val="24"/>
              </w:rPr>
              <w:lastRenderedPageBreak/>
              <w:t xml:space="preserve">After </w:t>
            </w:r>
            <w:r w:rsidR="00576B06">
              <w:rPr>
                <w:sz w:val="24"/>
                <w:szCs w:val="24"/>
              </w:rPr>
              <w:t xml:space="preserve">opening the </w:t>
            </w:r>
            <w:r w:rsidRPr="006B016B">
              <w:rPr>
                <w:sz w:val="24"/>
                <w:szCs w:val="24"/>
              </w:rPr>
              <w:t xml:space="preserve">bid envelopes, offers </w:t>
            </w:r>
            <w:r w:rsidR="00A4144A">
              <w:rPr>
                <w:sz w:val="24"/>
                <w:szCs w:val="24"/>
              </w:rPr>
              <w:t>are</w:t>
            </w:r>
            <w:r w:rsidR="00576B06">
              <w:rPr>
                <w:sz w:val="24"/>
                <w:szCs w:val="24"/>
              </w:rPr>
              <w:t xml:space="preserve"> announced to those present and</w:t>
            </w:r>
            <w:r w:rsidR="00A4144A">
              <w:rPr>
                <w:sz w:val="24"/>
                <w:szCs w:val="24"/>
              </w:rPr>
              <w:t xml:space="preserve"> recorded</w:t>
            </w:r>
            <w:r w:rsidR="00576B06">
              <w:rPr>
                <w:sz w:val="24"/>
                <w:szCs w:val="24"/>
              </w:rPr>
              <w:t>. The bidder with</w:t>
            </w:r>
            <w:r w:rsidR="00A4144A" w:rsidRPr="00576B06">
              <w:rPr>
                <w:sz w:val="24"/>
                <w:szCs w:val="24"/>
              </w:rPr>
              <w:t xml:space="preserve"> the best offer</w:t>
            </w:r>
            <w:r w:rsidRPr="00576B06">
              <w:rPr>
                <w:sz w:val="24"/>
                <w:szCs w:val="24"/>
              </w:rPr>
              <w:t xml:space="preserve"> </w:t>
            </w:r>
            <w:r w:rsidR="00A4144A" w:rsidRPr="00576B06">
              <w:rPr>
                <w:sz w:val="24"/>
                <w:szCs w:val="24"/>
              </w:rPr>
              <w:t>will be notified</w:t>
            </w:r>
            <w:r w:rsidR="00576B06" w:rsidRPr="00576B06">
              <w:rPr>
                <w:sz w:val="24"/>
                <w:szCs w:val="24"/>
              </w:rPr>
              <w:t xml:space="preserve"> after the bid opening</w:t>
            </w:r>
            <w:r w:rsidR="00576B06">
              <w:rPr>
                <w:sz w:val="24"/>
                <w:szCs w:val="24"/>
              </w:rPr>
              <w:t>, preferably in writing (email</w:t>
            </w:r>
            <w:r w:rsidR="00A4144A" w:rsidRPr="00576B06">
              <w:rPr>
                <w:sz w:val="24"/>
                <w:szCs w:val="24"/>
              </w:rPr>
              <w:t xml:space="preserve"> is sufficient)</w:t>
            </w:r>
            <w:r w:rsidRPr="00576B06">
              <w:rPr>
                <w:sz w:val="24"/>
                <w:szCs w:val="24"/>
              </w:rPr>
              <w:t>.</w:t>
            </w:r>
            <w:r w:rsidR="00576B06" w:rsidRPr="00576B06">
              <w:rPr>
                <w:sz w:val="24"/>
                <w:szCs w:val="24"/>
              </w:rPr>
              <w:t xml:space="preserve"> In some</w:t>
            </w:r>
            <w:r w:rsidR="00576B06">
              <w:rPr>
                <w:sz w:val="24"/>
                <w:szCs w:val="24"/>
              </w:rPr>
              <w:t xml:space="preserve"> instances, the award may not be straightforward, in which case the panel should have a separate, private meeting to discuss the options before awarding a winner – see points 5, 6 and 7 below. </w:t>
            </w:r>
          </w:p>
        </w:tc>
        <w:tc>
          <w:tcPr>
            <w:tcW w:w="1843" w:type="dxa"/>
          </w:tcPr>
          <w:p w:rsidR="0032441D" w:rsidRDefault="0032441D" w:rsidP="006B016B"/>
        </w:tc>
        <w:tc>
          <w:tcPr>
            <w:tcW w:w="1701" w:type="dxa"/>
          </w:tcPr>
          <w:p w:rsidR="0032441D" w:rsidRDefault="0032441D" w:rsidP="006B016B"/>
        </w:tc>
      </w:tr>
      <w:tr w:rsidR="00A4144A" w:rsidTr="00CD49FA">
        <w:tc>
          <w:tcPr>
            <w:tcW w:w="6521" w:type="dxa"/>
          </w:tcPr>
          <w:p w:rsidR="00A4144A" w:rsidRPr="006B016B" w:rsidRDefault="00A4144A" w:rsidP="006B016B">
            <w:pPr>
              <w:pStyle w:val="ListParagraph"/>
              <w:numPr>
                <w:ilvl w:val="0"/>
                <w:numId w:val="12"/>
              </w:numPr>
              <w:rPr>
                <w:sz w:val="24"/>
                <w:szCs w:val="24"/>
              </w:rPr>
            </w:pPr>
            <w:r>
              <w:rPr>
                <w:sz w:val="24"/>
                <w:szCs w:val="24"/>
              </w:rPr>
              <w:t>If only one bid is received, it</w:t>
            </w:r>
            <w:r w:rsidR="00A857A3">
              <w:rPr>
                <w:sz w:val="24"/>
                <w:szCs w:val="24"/>
              </w:rPr>
              <w:t xml:space="preserve"> is at the discretion of the Branch</w:t>
            </w:r>
            <w:r>
              <w:rPr>
                <w:sz w:val="24"/>
                <w:szCs w:val="24"/>
              </w:rPr>
              <w:t xml:space="preserve"> to accept it or not. If the bid is not acceptable, no bids are received or no acceptable bids are received, then the sale can be re-advertised. </w:t>
            </w:r>
            <w:r w:rsidR="00A857A3">
              <w:rPr>
                <w:sz w:val="24"/>
                <w:szCs w:val="24"/>
              </w:rPr>
              <w:t>The Branch</w:t>
            </w:r>
            <w:r>
              <w:rPr>
                <w:sz w:val="24"/>
                <w:szCs w:val="24"/>
              </w:rPr>
              <w:t xml:space="preserve"> should determine before opening the bids,</w:t>
            </w:r>
            <w:r w:rsidR="00703E4A">
              <w:rPr>
                <w:sz w:val="24"/>
                <w:szCs w:val="24"/>
              </w:rPr>
              <w:t xml:space="preserve"> w</w:t>
            </w:r>
            <w:r w:rsidR="00576B06">
              <w:rPr>
                <w:sz w:val="24"/>
                <w:szCs w:val="24"/>
              </w:rPr>
              <w:t>hat an acceptable price w</w:t>
            </w:r>
            <w:r>
              <w:rPr>
                <w:sz w:val="24"/>
                <w:szCs w:val="24"/>
              </w:rPr>
              <w:t>ould be.</w:t>
            </w:r>
            <w:r w:rsidR="00703E4A">
              <w:rPr>
                <w:sz w:val="24"/>
                <w:szCs w:val="24"/>
              </w:rPr>
              <w:t xml:space="preserve"> It is not recommended to set/advertise a reserve price as this may sway bidders to stick close to this amount, and therefore restrict the amount gained from the sale.</w:t>
            </w:r>
          </w:p>
        </w:tc>
        <w:tc>
          <w:tcPr>
            <w:tcW w:w="1843" w:type="dxa"/>
          </w:tcPr>
          <w:p w:rsidR="00A4144A" w:rsidRDefault="00A4144A" w:rsidP="006B016B"/>
        </w:tc>
        <w:tc>
          <w:tcPr>
            <w:tcW w:w="1701" w:type="dxa"/>
          </w:tcPr>
          <w:p w:rsidR="00A4144A" w:rsidRDefault="00A4144A" w:rsidP="006B016B"/>
        </w:tc>
      </w:tr>
      <w:tr w:rsidR="00703E4A" w:rsidTr="00CD49FA">
        <w:tc>
          <w:tcPr>
            <w:tcW w:w="6521" w:type="dxa"/>
          </w:tcPr>
          <w:p w:rsidR="00703E4A" w:rsidRDefault="00703E4A" w:rsidP="006B016B">
            <w:pPr>
              <w:pStyle w:val="ListParagraph"/>
              <w:numPr>
                <w:ilvl w:val="0"/>
                <w:numId w:val="12"/>
              </w:numPr>
              <w:rPr>
                <w:sz w:val="24"/>
                <w:szCs w:val="24"/>
              </w:rPr>
            </w:pPr>
            <w:r>
              <w:rPr>
                <w:sz w:val="24"/>
                <w:szCs w:val="24"/>
              </w:rPr>
              <w:t>If two or more identical bids are received at the highest price, all bidders submitting the same price should be re-contacted in writing to give a best and final offer. N.B: this may be a sign of collusion, and if this is suspected, the sale should be cancelled and rearranged.</w:t>
            </w:r>
          </w:p>
        </w:tc>
        <w:tc>
          <w:tcPr>
            <w:tcW w:w="1843" w:type="dxa"/>
          </w:tcPr>
          <w:p w:rsidR="00703E4A" w:rsidRDefault="00703E4A" w:rsidP="006B016B"/>
        </w:tc>
        <w:tc>
          <w:tcPr>
            <w:tcW w:w="1701" w:type="dxa"/>
          </w:tcPr>
          <w:p w:rsidR="00703E4A" w:rsidRDefault="00703E4A" w:rsidP="006B016B"/>
        </w:tc>
      </w:tr>
      <w:tr w:rsidR="0032441D" w:rsidTr="00CD49FA">
        <w:tc>
          <w:tcPr>
            <w:tcW w:w="6521" w:type="dxa"/>
          </w:tcPr>
          <w:p w:rsidR="0032441D" w:rsidRPr="006B016B" w:rsidRDefault="0032441D" w:rsidP="006B016B">
            <w:pPr>
              <w:pStyle w:val="ListParagraph"/>
              <w:numPr>
                <w:ilvl w:val="0"/>
                <w:numId w:val="12"/>
              </w:numPr>
              <w:rPr>
                <w:sz w:val="24"/>
                <w:szCs w:val="24"/>
              </w:rPr>
            </w:pPr>
            <w:r>
              <w:rPr>
                <w:sz w:val="24"/>
                <w:szCs w:val="24"/>
              </w:rPr>
              <w:t xml:space="preserve">Bids that are not </w:t>
            </w:r>
            <w:r w:rsidR="00736D11">
              <w:rPr>
                <w:sz w:val="24"/>
                <w:szCs w:val="24"/>
              </w:rPr>
              <w:t>deemed to be completed in full, may</w:t>
            </w:r>
            <w:r>
              <w:rPr>
                <w:sz w:val="24"/>
                <w:szCs w:val="24"/>
              </w:rPr>
              <w:t xml:space="preserve"> be rejected</w:t>
            </w:r>
            <w:r w:rsidR="00A857A3">
              <w:rPr>
                <w:sz w:val="24"/>
                <w:szCs w:val="24"/>
              </w:rPr>
              <w:t xml:space="preserve"> by the Branch decision panel.</w:t>
            </w:r>
          </w:p>
        </w:tc>
        <w:tc>
          <w:tcPr>
            <w:tcW w:w="1843" w:type="dxa"/>
          </w:tcPr>
          <w:p w:rsidR="0032441D" w:rsidRDefault="0032441D" w:rsidP="006B016B"/>
        </w:tc>
        <w:tc>
          <w:tcPr>
            <w:tcW w:w="1701" w:type="dxa"/>
          </w:tcPr>
          <w:p w:rsidR="0032441D" w:rsidRDefault="0032441D" w:rsidP="006B016B"/>
        </w:tc>
      </w:tr>
    </w:tbl>
    <w:p w:rsidR="001B21D4" w:rsidRPr="006B016B" w:rsidRDefault="001B21D4" w:rsidP="006B016B">
      <w:pPr>
        <w:rPr>
          <w:sz w:val="32"/>
          <w:szCs w:val="32"/>
        </w:rPr>
      </w:pPr>
    </w:p>
    <w:p w:rsidR="00DE4DB1" w:rsidRDefault="00DE4DB1" w:rsidP="00DE4DB1">
      <w:pPr>
        <w:pStyle w:val="Heading1"/>
        <w:rPr>
          <w:rFonts w:asciiTheme="minorHAnsi" w:hAnsiTheme="minorHAnsi" w:cstheme="minorHAnsi"/>
          <w:color w:val="FF0000"/>
          <w:sz w:val="36"/>
          <w:szCs w:val="36"/>
        </w:rPr>
      </w:pPr>
      <w:r w:rsidRPr="00DE4DB1">
        <w:rPr>
          <w:rFonts w:asciiTheme="minorHAnsi" w:hAnsiTheme="minorHAnsi" w:cstheme="minorHAnsi"/>
          <w:color w:val="FF0000"/>
          <w:sz w:val="36"/>
          <w:szCs w:val="36"/>
        </w:rPr>
        <w:t>After the Bid Opening</w:t>
      </w:r>
    </w:p>
    <w:tbl>
      <w:tblPr>
        <w:tblStyle w:val="TableGrid"/>
        <w:tblW w:w="10065" w:type="dxa"/>
        <w:tblInd w:w="-289" w:type="dxa"/>
        <w:tblLayout w:type="fixed"/>
        <w:tblLook w:val="04A0" w:firstRow="1" w:lastRow="0" w:firstColumn="1" w:lastColumn="0" w:noHBand="0" w:noVBand="1"/>
      </w:tblPr>
      <w:tblGrid>
        <w:gridCol w:w="6521"/>
        <w:gridCol w:w="1843"/>
        <w:gridCol w:w="1701"/>
      </w:tblGrid>
      <w:tr w:rsidR="0032441D" w:rsidTr="00CD49FA">
        <w:tc>
          <w:tcPr>
            <w:tcW w:w="6521" w:type="dxa"/>
            <w:shd w:val="clear" w:color="auto" w:fill="E7E6E6" w:themeFill="background2"/>
          </w:tcPr>
          <w:p w:rsidR="0032441D" w:rsidRPr="00B95CC8" w:rsidRDefault="0032441D" w:rsidP="006B016B">
            <w:pPr>
              <w:jc w:val="center"/>
              <w:rPr>
                <w:sz w:val="24"/>
                <w:szCs w:val="24"/>
              </w:rPr>
            </w:pPr>
            <w:r w:rsidRPr="00B95CC8">
              <w:rPr>
                <w:sz w:val="24"/>
                <w:szCs w:val="24"/>
              </w:rPr>
              <w:t>Steps to take</w:t>
            </w:r>
          </w:p>
        </w:tc>
        <w:tc>
          <w:tcPr>
            <w:tcW w:w="1843" w:type="dxa"/>
            <w:shd w:val="clear" w:color="auto" w:fill="E7E6E6" w:themeFill="background2"/>
          </w:tcPr>
          <w:p w:rsidR="0032441D" w:rsidRPr="00BB2826" w:rsidRDefault="00BB2826" w:rsidP="00BB2826">
            <w:pPr>
              <w:pStyle w:val="ListParagraph"/>
              <w:ind w:left="0"/>
              <w:rPr>
                <w:sz w:val="24"/>
                <w:szCs w:val="24"/>
              </w:rPr>
            </w:pPr>
            <w:r>
              <w:rPr>
                <w:sz w:val="24"/>
                <w:szCs w:val="24"/>
              </w:rPr>
              <w:t>Lead person responsible</w:t>
            </w:r>
          </w:p>
        </w:tc>
        <w:tc>
          <w:tcPr>
            <w:tcW w:w="1701" w:type="dxa"/>
            <w:shd w:val="clear" w:color="auto" w:fill="E7E6E6" w:themeFill="background2"/>
          </w:tcPr>
          <w:p w:rsidR="00654BA5" w:rsidRPr="00654BA5" w:rsidRDefault="0032441D" w:rsidP="006B016B">
            <w:pPr>
              <w:pStyle w:val="ListParagraph"/>
              <w:numPr>
                <w:ilvl w:val="0"/>
                <w:numId w:val="7"/>
              </w:numPr>
              <w:rPr>
                <w:color w:val="FF0000"/>
                <w:sz w:val="24"/>
                <w:szCs w:val="24"/>
              </w:rPr>
            </w:pPr>
            <w:r w:rsidRPr="00B95CC8">
              <w:rPr>
                <w:color w:val="FF0000"/>
                <w:sz w:val="24"/>
                <w:szCs w:val="24"/>
              </w:rPr>
              <w:t xml:space="preserve"> </w:t>
            </w:r>
            <w:r w:rsidRPr="00B95CC8">
              <w:rPr>
                <w:sz w:val="24"/>
                <w:szCs w:val="24"/>
              </w:rPr>
              <w:t>Tick box when checked/</w:t>
            </w:r>
          </w:p>
          <w:p w:rsidR="0032441D" w:rsidRPr="00B95CC8" w:rsidRDefault="0032441D" w:rsidP="00654BA5">
            <w:pPr>
              <w:pStyle w:val="ListParagraph"/>
              <w:ind w:left="360"/>
              <w:rPr>
                <w:color w:val="FF0000"/>
                <w:sz w:val="24"/>
                <w:szCs w:val="24"/>
              </w:rPr>
            </w:pPr>
            <w:r w:rsidRPr="00B95CC8">
              <w:rPr>
                <w:sz w:val="24"/>
                <w:szCs w:val="24"/>
              </w:rPr>
              <w:t>completed</w:t>
            </w:r>
          </w:p>
        </w:tc>
      </w:tr>
      <w:tr w:rsidR="0032441D" w:rsidTr="00CD49FA">
        <w:tc>
          <w:tcPr>
            <w:tcW w:w="6521" w:type="dxa"/>
          </w:tcPr>
          <w:p w:rsidR="0032441D" w:rsidRPr="006B016B" w:rsidRDefault="00703E4A" w:rsidP="00F0575F">
            <w:pPr>
              <w:pStyle w:val="ListParagraph"/>
              <w:numPr>
                <w:ilvl w:val="0"/>
                <w:numId w:val="13"/>
              </w:numPr>
              <w:rPr>
                <w:sz w:val="24"/>
                <w:szCs w:val="24"/>
              </w:rPr>
            </w:pPr>
            <w:r>
              <w:rPr>
                <w:sz w:val="24"/>
                <w:szCs w:val="24"/>
              </w:rPr>
              <w:t xml:space="preserve">A contract of sale </w:t>
            </w:r>
            <w:r w:rsidR="00AA00F6" w:rsidRPr="00AA00F6">
              <w:rPr>
                <w:i/>
                <w:sz w:val="24"/>
                <w:szCs w:val="24"/>
              </w:rPr>
              <w:t>(see attached template)</w:t>
            </w:r>
            <w:r w:rsidR="0032441D" w:rsidRPr="00AA00F6">
              <w:rPr>
                <w:i/>
                <w:sz w:val="24"/>
                <w:szCs w:val="24"/>
              </w:rPr>
              <w:t xml:space="preserve"> </w:t>
            </w:r>
            <w:r w:rsidR="0032441D" w:rsidRPr="006B016B">
              <w:rPr>
                <w:sz w:val="24"/>
                <w:szCs w:val="24"/>
              </w:rPr>
              <w:t>is signed and dated by both parties (Red Cross</w:t>
            </w:r>
            <w:r w:rsidR="00A857A3">
              <w:rPr>
                <w:sz w:val="24"/>
                <w:szCs w:val="24"/>
              </w:rPr>
              <w:t xml:space="preserve"> Branch</w:t>
            </w:r>
            <w:r w:rsidR="0032441D" w:rsidRPr="006B016B">
              <w:rPr>
                <w:sz w:val="24"/>
                <w:szCs w:val="24"/>
              </w:rPr>
              <w:t xml:space="preserve"> and buyer). Copies must be kept by both parties</w:t>
            </w:r>
            <w:r w:rsidR="00F0575F">
              <w:rPr>
                <w:sz w:val="24"/>
                <w:szCs w:val="24"/>
              </w:rPr>
              <w:t xml:space="preserve"> (by the Branch</w:t>
            </w:r>
            <w:r w:rsidR="0032441D">
              <w:rPr>
                <w:sz w:val="24"/>
                <w:szCs w:val="24"/>
              </w:rPr>
              <w:t xml:space="preserve"> for audit purposes)</w:t>
            </w:r>
            <w:r w:rsidR="0032441D" w:rsidRPr="006B016B">
              <w:rPr>
                <w:sz w:val="24"/>
                <w:szCs w:val="24"/>
              </w:rPr>
              <w:t>.</w:t>
            </w:r>
          </w:p>
        </w:tc>
        <w:tc>
          <w:tcPr>
            <w:tcW w:w="1843" w:type="dxa"/>
          </w:tcPr>
          <w:p w:rsidR="0032441D" w:rsidRDefault="0032441D" w:rsidP="006B016B"/>
        </w:tc>
        <w:tc>
          <w:tcPr>
            <w:tcW w:w="1701" w:type="dxa"/>
          </w:tcPr>
          <w:p w:rsidR="0032441D" w:rsidRDefault="0032441D" w:rsidP="006B016B"/>
        </w:tc>
      </w:tr>
      <w:tr w:rsidR="0032441D" w:rsidTr="00CD49FA">
        <w:tc>
          <w:tcPr>
            <w:tcW w:w="6521" w:type="dxa"/>
          </w:tcPr>
          <w:p w:rsidR="0032441D" w:rsidRPr="006B016B" w:rsidRDefault="0032441D" w:rsidP="006B016B">
            <w:pPr>
              <w:pStyle w:val="ListParagraph"/>
              <w:numPr>
                <w:ilvl w:val="0"/>
                <w:numId w:val="13"/>
              </w:numPr>
              <w:rPr>
                <w:sz w:val="24"/>
                <w:szCs w:val="24"/>
              </w:rPr>
            </w:pPr>
            <w:r w:rsidRPr="006B016B">
              <w:rPr>
                <w:sz w:val="24"/>
                <w:szCs w:val="24"/>
              </w:rPr>
              <w:t>Payment and collection of vehicle(s) should be made by the successful bidder wi</w:t>
            </w:r>
            <w:r w:rsidR="005A3992">
              <w:rPr>
                <w:sz w:val="24"/>
                <w:szCs w:val="24"/>
              </w:rPr>
              <w:t xml:space="preserve">thin one week of being notified or </w:t>
            </w:r>
            <w:r w:rsidRPr="006B016B">
              <w:rPr>
                <w:sz w:val="24"/>
                <w:szCs w:val="24"/>
              </w:rPr>
              <w:t xml:space="preserve">signature of the contract of sale, whichever is later (this </w:t>
            </w:r>
            <w:r w:rsidR="005A3992">
              <w:rPr>
                <w:sz w:val="24"/>
                <w:szCs w:val="24"/>
              </w:rPr>
              <w:t>will be mentioned in the “B</w:t>
            </w:r>
            <w:r w:rsidRPr="006B016B">
              <w:rPr>
                <w:sz w:val="24"/>
                <w:szCs w:val="24"/>
              </w:rPr>
              <w:t>id form</w:t>
            </w:r>
            <w:r w:rsidR="005A3992">
              <w:rPr>
                <w:sz w:val="24"/>
                <w:szCs w:val="24"/>
              </w:rPr>
              <w:t>”</w:t>
            </w:r>
            <w:r w:rsidRPr="006B016B">
              <w:rPr>
                <w:sz w:val="24"/>
                <w:szCs w:val="24"/>
              </w:rPr>
              <w:t>).</w:t>
            </w:r>
            <w:r>
              <w:rPr>
                <w:sz w:val="24"/>
                <w:szCs w:val="24"/>
              </w:rPr>
              <w:t xml:space="preserve"> If the payment is not made within one week, then the offer will be award</w:t>
            </w:r>
            <w:r w:rsidR="00703E4A">
              <w:rPr>
                <w:sz w:val="24"/>
                <w:szCs w:val="24"/>
              </w:rPr>
              <w:t>ed to the second highest bidder, as long as their bid is of an acceptable price.</w:t>
            </w:r>
            <w:r w:rsidR="008537A7">
              <w:rPr>
                <w:sz w:val="24"/>
                <w:szCs w:val="24"/>
              </w:rPr>
              <w:t xml:space="preserve"> Payment should be made against an invoice issued by the Branch.</w:t>
            </w:r>
            <w:bookmarkStart w:id="0" w:name="_GoBack"/>
            <w:bookmarkEnd w:id="0"/>
          </w:p>
        </w:tc>
        <w:tc>
          <w:tcPr>
            <w:tcW w:w="1843" w:type="dxa"/>
          </w:tcPr>
          <w:p w:rsidR="0032441D" w:rsidRDefault="0032441D" w:rsidP="006B016B"/>
        </w:tc>
        <w:tc>
          <w:tcPr>
            <w:tcW w:w="1701" w:type="dxa"/>
          </w:tcPr>
          <w:p w:rsidR="0032441D" w:rsidRDefault="0032441D" w:rsidP="006B016B"/>
        </w:tc>
      </w:tr>
      <w:tr w:rsidR="0032441D" w:rsidTr="00CD49FA">
        <w:tc>
          <w:tcPr>
            <w:tcW w:w="6521" w:type="dxa"/>
          </w:tcPr>
          <w:p w:rsidR="0032441D" w:rsidRPr="007320D8" w:rsidRDefault="0032441D" w:rsidP="007320D8">
            <w:pPr>
              <w:pStyle w:val="ListParagraph"/>
              <w:numPr>
                <w:ilvl w:val="0"/>
                <w:numId w:val="13"/>
              </w:numPr>
              <w:rPr>
                <w:sz w:val="24"/>
                <w:szCs w:val="24"/>
              </w:rPr>
            </w:pPr>
            <w:r w:rsidRPr="007320D8">
              <w:rPr>
                <w:sz w:val="24"/>
                <w:szCs w:val="24"/>
              </w:rPr>
              <w:t>All vehicle registration/import documents must be transferred to the new owner.</w:t>
            </w:r>
          </w:p>
        </w:tc>
        <w:tc>
          <w:tcPr>
            <w:tcW w:w="1843" w:type="dxa"/>
          </w:tcPr>
          <w:p w:rsidR="0032441D" w:rsidRDefault="0032441D" w:rsidP="006B016B"/>
        </w:tc>
        <w:tc>
          <w:tcPr>
            <w:tcW w:w="1701" w:type="dxa"/>
          </w:tcPr>
          <w:p w:rsidR="0032441D" w:rsidRDefault="0032441D" w:rsidP="006B016B"/>
        </w:tc>
      </w:tr>
      <w:tr w:rsidR="0032441D" w:rsidTr="00CD49FA">
        <w:tc>
          <w:tcPr>
            <w:tcW w:w="6521" w:type="dxa"/>
          </w:tcPr>
          <w:p w:rsidR="0032441D" w:rsidRPr="007320D8" w:rsidRDefault="0032441D" w:rsidP="007320D8">
            <w:pPr>
              <w:pStyle w:val="ListParagraph"/>
              <w:numPr>
                <w:ilvl w:val="0"/>
                <w:numId w:val="13"/>
              </w:numPr>
              <w:rPr>
                <w:sz w:val="24"/>
                <w:szCs w:val="24"/>
              </w:rPr>
            </w:pPr>
            <w:r w:rsidRPr="007320D8">
              <w:rPr>
                <w:sz w:val="24"/>
                <w:szCs w:val="24"/>
              </w:rPr>
              <w:lastRenderedPageBreak/>
              <w:t>The fixed asset register must be updated after the sale with a copy of the ‘contract of sale’ attached.</w:t>
            </w:r>
          </w:p>
        </w:tc>
        <w:tc>
          <w:tcPr>
            <w:tcW w:w="1843" w:type="dxa"/>
          </w:tcPr>
          <w:p w:rsidR="0032441D" w:rsidRDefault="0032441D" w:rsidP="006B016B"/>
        </w:tc>
        <w:tc>
          <w:tcPr>
            <w:tcW w:w="1701" w:type="dxa"/>
          </w:tcPr>
          <w:p w:rsidR="0032441D" w:rsidRDefault="0032441D" w:rsidP="006B016B"/>
        </w:tc>
      </w:tr>
      <w:tr w:rsidR="0032441D" w:rsidTr="00CD49FA">
        <w:tc>
          <w:tcPr>
            <w:tcW w:w="6521" w:type="dxa"/>
          </w:tcPr>
          <w:p w:rsidR="0032441D" w:rsidRPr="007320D8" w:rsidRDefault="0032441D" w:rsidP="005A3992">
            <w:pPr>
              <w:pStyle w:val="ListParagraph"/>
              <w:numPr>
                <w:ilvl w:val="0"/>
                <w:numId w:val="13"/>
              </w:numPr>
              <w:rPr>
                <w:sz w:val="24"/>
                <w:szCs w:val="24"/>
              </w:rPr>
            </w:pPr>
            <w:r w:rsidRPr="007320D8">
              <w:rPr>
                <w:sz w:val="24"/>
                <w:szCs w:val="24"/>
              </w:rPr>
              <w:t>Proceeds from the sale should be reflected in</w:t>
            </w:r>
            <w:r>
              <w:rPr>
                <w:sz w:val="24"/>
                <w:szCs w:val="24"/>
              </w:rPr>
              <w:t xml:space="preserve"> the monthly accounts as income, and incorporated into the same programme</w:t>
            </w:r>
            <w:r w:rsidR="005A3992">
              <w:rPr>
                <w:sz w:val="24"/>
                <w:szCs w:val="24"/>
              </w:rPr>
              <w:t xml:space="preserve"> if appropriate</w:t>
            </w:r>
            <w:r>
              <w:rPr>
                <w:sz w:val="24"/>
                <w:szCs w:val="24"/>
              </w:rPr>
              <w:t>, or as directed by the donor.</w:t>
            </w:r>
          </w:p>
        </w:tc>
        <w:tc>
          <w:tcPr>
            <w:tcW w:w="1843" w:type="dxa"/>
          </w:tcPr>
          <w:p w:rsidR="0032441D" w:rsidRDefault="0032441D" w:rsidP="006B016B"/>
        </w:tc>
        <w:tc>
          <w:tcPr>
            <w:tcW w:w="1701" w:type="dxa"/>
          </w:tcPr>
          <w:p w:rsidR="0032441D" w:rsidRDefault="0032441D" w:rsidP="006B016B"/>
        </w:tc>
      </w:tr>
      <w:tr w:rsidR="00703E4A" w:rsidTr="00CD49FA">
        <w:tc>
          <w:tcPr>
            <w:tcW w:w="6521" w:type="dxa"/>
          </w:tcPr>
          <w:p w:rsidR="00703E4A" w:rsidRPr="007320D8" w:rsidRDefault="00A857A3" w:rsidP="007320D8">
            <w:pPr>
              <w:pStyle w:val="ListParagraph"/>
              <w:numPr>
                <w:ilvl w:val="0"/>
                <w:numId w:val="13"/>
              </w:numPr>
              <w:rPr>
                <w:sz w:val="24"/>
                <w:szCs w:val="24"/>
              </w:rPr>
            </w:pPr>
            <w:r>
              <w:rPr>
                <w:sz w:val="24"/>
                <w:szCs w:val="24"/>
              </w:rPr>
              <w:t>The Branch</w:t>
            </w:r>
            <w:r w:rsidR="00703E4A">
              <w:rPr>
                <w:sz w:val="24"/>
                <w:szCs w:val="24"/>
              </w:rPr>
              <w:t xml:space="preserve"> must retain all copies</w:t>
            </w:r>
            <w:r w:rsidR="005F3495">
              <w:rPr>
                <w:sz w:val="24"/>
                <w:szCs w:val="24"/>
              </w:rPr>
              <w:t xml:space="preserve"> of bids for audit purposes, for a minimum of 7 years.</w:t>
            </w:r>
          </w:p>
        </w:tc>
        <w:tc>
          <w:tcPr>
            <w:tcW w:w="1843" w:type="dxa"/>
          </w:tcPr>
          <w:p w:rsidR="00703E4A" w:rsidRDefault="00703E4A" w:rsidP="006B016B"/>
        </w:tc>
        <w:tc>
          <w:tcPr>
            <w:tcW w:w="1701" w:type="dxa"/>
          </w:tcPr>
          <w:p w:rsidR="00703E4A" w:rsidRDefault="00703E4A" w:rsidP="006B016B"/>
        </w:tc>
      </w:tr>
    </w:tbl>
    <w:p w:rsidR="00CD49FA" w:rsidRDefault="00CD49FA" w:rsidP="008620BE">
      <w:pPr>
        <w:rPr>
          <w:i/>
          <w:sz w:val="24"/>
          <w:szCs w:val="24"/>
        </w:rPr>
      </w:pPr>
    </w:p>
    <w:p w:rsidR="005F3495" w:rsidRDefault="008620BE" w:rsidP="008620BE">
      <w:pPr>
        <w:rPr>
          <w:i/>
          <w:sz w:val="24"/>
          <w:szCs w:val="24"/>
        </w:rPr>
      </w:pPr>
      <w:r w:rsidRPr="00CD49FA">
        <w:rPr>
          <w:b/>
          <w:i/>
          <w:sz w:val="24"/>
          <w:szCs w:val="24"/>
        </w:rPr>
        <w:t>Please note:</w:t>
      </w:r>
      <w:r w:rsidRPr="00654BA5">
        <w:rPr>
          <w:i/>
          <w:sz w:val="24"/>
          <w:szCs w:val="24"/>
        </w:rPr>
        <w:t xml:space="preserve"> the following guidelines are subject to local laws an</w:t>
      </w:r>
      <w:r w:rsidR="001B21D4" w:rsidRPr="00654BA5">
        <w:rPr>
          <w:i/>
          <w:sz w:val="24"/>
          <w:szCs w:val="24"/>
        </w:rPr>
        <w:t>d regulations, and therefore should</w:t>
      </w:r>
      <w:r w:rsidRPr="00654BA5">
        <w:rPr>
          <w:i/>
          <w:sz w:val="24"/>
          <w:szCs w:val="24"/>
        </w:rPr>
        <w:t xml:space="preserve"> be adapted accordingly where appropriate.</w:t>
      </w:r>
      <w:r w:rsidR="005F3495" w:rsidRPr="00654BA5">
        <w:rPr>
          <w:i/>
          <w:sz w:val="24"/>
          <w:szCs w:val="24"/>
        </w:rPr>
        <w:t xml:space="preserve"> Any divergence from the above due to local context should be checked with BRC UKO Logistics team in advance.</w:t>
      </w:r>
    </w:p>
    <w:p w:rsidR="003C738A" w:rsidRDefault="003C738A" w:rsidP="008620BE">
      <w:pPr>
        <w:rPr>
          <w:i/>
          <w:sz w:val="24"/>
          <w:szCs w:val="24"/>
        </w:rPr>
      </w:pPr>
    </w:p>
    <w:p w:rsidR="003C738A" w:rsidRPr="003C738A" w:rsidRDefault="003C738A" w:rsidP="008620BE">
      <w:pPr>
        <w:rPr>
          <w:sz w:val="24"/>
          <w:szCs w:val="24"/>
        </w:rPr>
      </w:pPr>
      <w:r w:rsidRPr="003C738A">
        <w:rPr>
          <w:b/>
          <w:sz w:val="24"/>
          <w:szCs w:val="24"/>
        </w:rPr>
        <w:t>ANNEX 1:</w:t>
      </w:r>
      <w:r w:rsidRPr="003C738A">
        <w:rPr>
          <w:sz w:val="24"/>
          <w:szCs w:val="24"/>
        </w:rPr>
        <w:t xml:space="preserve"> Invitation to Bid (Newspaper Advert) Template</w:t>
      </w:r>
    </w:p>
    <w:p w:rsidR="003C738A" w:rsidRPr="003C738A" w:rsidRDefault="003C738A" w:rsidP="008620BE">
      <w:pPr>
        <w:rPr>
          <w:sz w:val="24"/>
          <w:szCs w:val="24"/>
        </w:rPr>
      </w:pPr>
      <w:r w:rsidRPr="003C738A">
        <w:rPr>
          <w:b/>
          <w:sz w:val="24"/>
          <w:szCs w:val="24"/>
        </w:rPr>
        <w:t>ANNEX 2:</w:t>
      </w:r>
      <w:r w:rsidRPr="003C738A">
        <w:rPr>
          <w:sz w:val="24"/>
          <w:szCs w:val="24"/>
        </w:rPr>
        <w:t xml:space="preserve"> Bid Form</w:t>
      </w:r>
      <w:r w:rsidR="00806F74">
        <w:rPr>
          <w:sz w:val="24"/>
          <w:szCs w:val="24"/>
        </w:rPr>
        <w:t xml:space="preserve"> Template</w:t>
      </w:r>
    </w:p>
    <w:p w:rsidR="003C738A" w:rsidRPr="003C738A" w:rsidRDefault="003C738A" w:rsidP="008620BE">
      <w:pPr>
        <w:rPr>
          <w:sz w:val="24"/>
          <w:szCs w:val="24"/>
        </w:rPr>
      </w:pPr>
      <w:r w:rsidRPr="003C738A">
        <w:rPr>
          <w:b/>
          <w:sz w:val="24"/>
          <w:szCs w:val="24"/>
        </w:rPr>
        <w:t>ANNEX 3:</w:t>
      </w:r>
      <w:r w:rsidRPr="003C738A">
        <w:rPr>
          <w:sz w:val="24"/>
          <w:szCs w:val="24"/>
        </w:rPr>
        <w:t xml:space="preserve"> Contract of Sale </w:t>
      </w:r>
      <w:r w:rsidR="00806F74">
        <w:rPr>
          <w:sz w:val="24"/>
          <w:szCs w:val="24"/>
        </w:rPr>
        <w:t>Template</w:t>
      </w:r>
    </w:p>
    <w:p w:rsidR="002D2ABF" w:rsidRPr="002D2ABF" w:rsidRDefault="002D2ABF" w:rsidP="002D2ABF">
      <w:pPr>
        <w:rPr>
          <w:sz w:val="32"/>
          <w:szCs w:val="32"/>
        </w:rPr>
      </w:pPr>
    </w:p>
    <w:p w:rsidR="00781AAE" w:rsidRDefault="00781AAE" w:rsidP="00781AAE"/>
    <w:p w:rsidR="00781AAE" w:rsidRPr="00781AAE" w:rsidRDefault="00781AAE" w:rsidP="001327F8"/>
    <w:p w:rsidR="00781AAE" w:rsidRPr="00781AAE" w:rsidRDefault="00781AAE" w:rsidP="00781AAE"/>
    <w:p w:rsidR="00781AAE" w:rsidRPr="00781AAE" w:rsidRDefault="00781AAE" w:rsidP="00781AAE"/>
    <w:sectPr w:rsidR="00781AAE" w:rsidRPr="00781A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79" w:rsidRDefault="008F4F79" w:rsidP="00B9415B">
      <w:pPr>
        <w:spacing w:after="0" w:line="240" w:lineRule="auto"/>
      </w:pPr>
      <w:r>
        <w:separator/>
      </w:r>
    </w:p>
  </w:endnote>
  <w:endnote w:type="continuationSeparator" w:id="0">
    <w:p w:rsidR="008F4F79" w:rsidRDefault="008F4F79" w:rsidP="00B9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A3" w:rsidRDefault="00A857A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537A7">
      <w:rPr>
        <w:noProof/>
        <w:color w:val="5B9BD5" w:themeColor="accent1"/>
      </w:rPr>
      <w:t>5</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537A7">
      <w:rPr>
        <w:noProof/>
        <w:color w:val="5B9BD5" w:themeColor="accent1"/>
      </w:rPr>
      <w:t>5</w:t>
    </w:r>
    <w:r>
      <w:rPr>
        <w:color w:val="5B9BD5" w:themeColor="accent1"/>
      </w:rPr>
      <w:fldChar w:fldCharType="end"/>
    </w:r>
  </w:p>
  <w:p w:rsidR="00B9415B" w:rsidRDefault="00B94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79" w:rsidRDefault="008F4F79" w:rsidP="00B9415B">
      <w:pPr>
        <w:spacing w:after="0" w:line="240" w:lineRule="auto"/>
      </w:pPr>
      <w:r>
        <w:separator/>
      </w:r>
    </w:p>
  </w:footnote>
  <w:footnote w:type="continuationSeparator" w:id="0">
    <w:p w:rsidR="008F4F79" w:rsidRDefault="008F4F79" w:rsidP="00B94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A3" w:rsidRDefault="00A857A3">
    <w:pPr>
      <w:pStyle w:val="Header"/>
    </w:pPr>
    <w:r>
      <w:t>Step by Step guidelines for sale of vehicles</w:t>
    </w:r>
  </w:p>
  <w:p w:rsidR="00A857A3" w:rsidRDefault="00A85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3AE"/>
    <w:multiLevelType w:val="hybridMultilevel"/>
    <w:tmpl w:val="8DAA3FFE"/>
    <w:lvl w:ilvl="0" w:tplc="3FDEBA4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70CC6"/>
    <w:multiLevelType w:val="hybridMultilevel"/>
    <w:tmpl w:val="95100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754C1"/>
    <w:multiLevelType w:val="hybridMultilevel"/>
    <w:tmpl w:val="6276C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67FBA"/>
    <w:multiLevelType w:val="hybridMultilevel"/>
    <w:tmpl w:val="96B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B1E7A"/>
    <w:multiLevelType w:val="hybridMultilevel"/>
    <w:tmpl w:val="F83CA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76649"/>
    <w:multiLevelType w:val="hybridMultilevel"/>
    <w:tmpl w:val="8558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C0D2E"/>
    <w:multiLevelType w:val="hybridMultilevel"/>
    <w:tmpl w:val="B07631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567BD"/>
    <w:multiLevelType w:val="hybridMultilevel"/>
    <w:tmpl w:val="58A2D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656D1"/>
    <w:multiLevelType w:val="hybridMultilevel"/>
    <w:tmpl w:val="A7B45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C1B38"/>
    <w:multiLevelType w:val="hybridMultilevel"/>
    <w:tmpl w:val="A936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C7007"/>
    <w:multiLevelType w:val="hybridMultilevel"/>
    <w:tmpl w:val="1902D3FA"/>
    <w:lvl w:ilvl="0" w:tplc="A5EAA7C2">
      <w:start w:val="1"/>
      <w:numFmt w:val="bullet"/>
      <w:lvlText w:val=""/>
      <w:lvlJc w:val="left"/>
      <w:pPr>
        <w:ind w:left="720" w:hanging="360"/>
      </w:pPr>
      <w:rPr>
        <w:rFonts w:asciiTheme="minorHAnsi" w:hAnsiTheme="minorHAnsi" w:cstheme="minorHAnsi"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816FD"/>
    <w:multiLevelType w:val="hybridMultilevel"/>
    <w:tmpl w:val="2EE2F0F6"/>
    <w:lvl w:ilvl="0" w:tplc="9BE87FE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F195D"/>
    <w:multiLevelType w:val="hybridMultilevel"/>
    <w:tmpl w:val="B86228BC"/>
    <w:lvl w:ilvl="0" w:tplc="38EC2BF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6"/>
  </w:num>
  <w:num w:numId="6">
    <w:abstractNumId w:val="1"/>
  </w:num>
  <w:num w:numId="7">
    <w:abstractNumId w:val="12"/>
  </w:num>
  <w:num w:numId="8">
    <w:abstractNumId w:val="11"/>
  </w:num>
  <w:num w:numId="9">
    <w:abstractNumId w:val="5"/>
  </w:num>
  <w:num w:numId="10">
    <w:abstractNumId w:val="3"/>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4F"/>
    <w:rsid w:val="00084BB3"/>
    <w:rsid w:val="000C5379"/>
    <w:rsid w:val="001178C5"/>
    <w:rsid w:val="001327F8"/>
    <w:rsid w:val="001B21D4"/>
    <w:rsid w:val="001D495C"/>
    <w:rsid w:val="002019AD"/>
    <w:rsid w:val="002055D7"/>
    <w:rsid w:val="00255097"/>
    <w:rsid w:val="002A7742"/>
    <w:rsid w:val="002D2ABF"/>
    <w:rsid w:val="0032441D"/>
    <w:rsid w:val="00381747"/>
    <w:rsid w:val="00393B32"/>
    <w:rsid w:val="003A1FC4"/>
    <w:rsid w:val="003B1F55"/>
    <w:rsid w:val="003C738A"/>
    <w:rsid w:val="003E6B09"/>
    <w:rsid w:val="00461926"/>
    <w:rsid w:val="004A1196"/>
    <w:rsid w:val="004C49D5"/>
    <w:rsid w:val="0051086A"/>
    <w:rsid w:val="00524845"/>
    <w:rsid w:val="00576B06"/>
    <w:rsid w:val="0059167C"/>
    <w:rsid w:val="005A3992"/>
    <w:rsid w:val="005F3495"/>
    <w:rsid w:val="00622BA9"/>
    <w:rsid w:val="0062770D"/>
    <w:rsid w:val="00643D20"/>
    <w:rsid w:val="00654BA5"/>
    <w:rsid w:val="00667B51"/>
    <w:rsid w:val="006A56D0"/>
    <w:rsid w:val="006B016B"/>
    <w:rsid w:val="00703E4A"/>
    <w:rsid w:val="007320D8"/>
    <w:rsid w:val="00736D11"/>
    <w:rsid w:val="00773E67"/>
    <w:rsid w:val="00781AAE"/>
    <w:rsid w:val="007C135B"/>
    <w:rsid w:val="007C7968"/>
    <w:rsid w:val="00801581"/>
    <w:rsid w:val="00806F74"/>
    <w:rsid w:val="008537A7"/>
    <w:rsid w:val="008620BE"/>
    <w:rsid w:val="008F3410"/>
    <w:rsid w:val="008F4F79"/>
    <w:rsid w:val="008F672C"/>
    <w:rsid w:val="009013B0"/>
    <w:rsid w:val="0095043F"/>
    <w:rsid w:val="009760D0"/>
    <w:rsid w:val="009F4866"/>
    <w:rsid w:val="009F7E57"/>
    <w:rsid w:val="00A11806"/>
    <w:rsid w:val="00A4144A"/>
    <w:rsid w:val="00A50617"/>
    <w:rsid w:val="00A56559"/>
    <w:rsid w:val="00A857A3"/>
    <w:rsid w:val="00A95DFF"/>
    <w:rsid w:val="00AA00F6"/>
    <w:rsid w:val="00B074A6"/>
    <w:rsid w:val="00B9415B"/>
    <w:rsid w:val="00B95CC8"/>
    <w:rsid w:val="00BB2826"/>
    <w:rsid w:val="00C15790"/>
    <w:rsid w:val="00C25E1B"/>
    <w:rsid w:val="00C90368"/>
    <w:rsid w:val="00C97F53"/>
    <w:rsid w:val="00CD49FA"/>
    <w:rsid w:val="00D16F3F"/>
    <w:rsid w:val="00D65FBF"/>
    <w:rsid w:val="00D743B4"/>
    <w:rsid w:val="00DA465A"/>
    <w:rsid w:val="00DE1DF5"/>
    <w:rsid w:val="00DE4DB1"/>
    <w:rsid w:val="00E40427"/>
    <w:rsid w:val="00E85D46"/>
    <w:rsid w:val="00E87606"/>
    <w:rsid w:val="00E9246A"/>
    <w:rsid w:val="00F01B36"/>
    <w:rsid w:val="00F0575F"/>
    <w:rsid w:val="00F91969"/>
    <w:rsid w:val="00F9454F"/>
    <w:rsid w:val="00FA398D"/>
    <w:rsid w:val="00FF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6045-FA3F-408A-BA7C-F21E0952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5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5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454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9454F"/>
    <w:pPr>
      <w:ind w:left="720"/>
      <w:contextualSpacing/>
    </w:pPr>
  </w:style>
  <w:style w:type="table" w:styleId="TableGrid">
    <w:name w:val="Table Grid"/>
    <w:basedOn w:val="TableNormal"/>
    <w:uiPriority w:val="39"/>
    <w:rsid w:val="00D7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5B"/>
  </w:style>
  <w:style w:type="paragraph" w:styleId="Footer">
    <w:name w:val="footer"/>
    <w:basedOn w:val="Normal"/>
    <w:link w:val="FooterChar"/>
    <w:uiPriority w:val="99"/>
    <w:unhideWhenUsed/>
    <w:rsid w:val="00B94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1D07.F40E201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GOOrgUnitDocument" ma:contentTypeID="0x0101002A2DB23D81B146548380C2D46D076609008F66855BCAE044D0AA257A55333F2A2E000B45C6226ABA1E43B9BBFE2E7ED197A6" ma:contentTypeVersion="13" ma:contentTypeDescription="NGO OrgUnit Document content type" ma:contentTypeScope="" ma:versionID="e79cf59e0603f95f4d42bfc264f5eda6">
  <xsd:schema xmlns:xsd="http://www.w3.org/2001/XMLSchema" xmlns:xs="http://www.w3.org/2001/XMLSchema" xmlns:p="http://schemas.microsoft.com/office/2006/metadata/properties" xmlns:ns2="c6d1b2a1-4108-4da6-a939-99f0964f0166" xmlns:ns3="71b2ca4f-545d-4566-a037-99a475aa59e9" xmlns:ns4="986d7093-5025-43f0-87d7-964c73dfc7e6" xmlns:ns5="7340fdee-f7b9-41e8-bdab-b344c8909a2e" targetNamespace="http://schemas.microsoft.com/office/2006/metadata/properties" ma:root="true" ma:fieldsID="95c3cbf7d60809f28edc5b49efd0f117" ns2:_="" ns3:_="" ns4:_="" ns5:_="">
    <xsd:import namespace="c6d1b2a1-4108-4da6-a939-99f0964f0166"/>
    <xsd:import namespace="71b2ca4f-545d-4566-a037-99a475aa59e9"/>
    <xsd:import namespace="986d7093-5025-43f0-87d7-964c73dfc7e6"/>
    <xsd:import namespace="7340fdee-f7b9-41e8-bdab-b344c8909a2e"/>
    <xsd:element name="properties">
      <xsd:complexType>
        <xsd:sequence>
          <xsd:element name="documentManagement">
            <xsd:complexType>
              <xsd:all>
                <xsd:element ref="ns2:FavoriteUsers" minOccurs="0"/>
                <xsd:element ref="ns2:KeyEntities" minOccurs="0"/>
                <xsd:element ref="ns2:i9f2da93fcc74e869d070fd34a0597c4" minOccurs="0"/>
                <xsd:element ref="ns3:TaxCatchAll" minOccurs="0"/>
                <xsd:element ref="ns3:TaxCatchAllLabel" minOccurs="0"/>
                <xsd:element ref="ns2:cc92bdb0fa944447acf309642a11bf0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5:SharedWithUsers" minOccurs="0"/>
                <xsd:element ref="ns5: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1b2a1-4108-4da6-a939-99f0964f0166"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list="UserInfo" ma:SharePointGroup="0" ma:internalName="Favorite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Entities" ma:index="9" nillable="true" ma:displayName="K" ma:description="Store all entities which this document as a key" ma:hidden="true" ma:internalName="KeyEntities">
      <xsd:simpleType>
        <xsd:restriction base="dms:Note">
          <xsd:maxLength value="255"/>
        </xsd:restriction>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15167c16-a890-4d0e-8066-19c144e748d9" ma:termSetId="115f4953-64d2-4c9d-bcff-a91c0b88b8e9" ma:anchorId="00000000-0000-0000-0000-000000000000" ma:open="false" ma:isKeyword="false">
      <xsd:complexType>
        <xsd:sequence>
          <xsd:element ref="pc:Terms" minOccurs="0" maxOccurs="1"/>
        </xsd:sequence>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15167c16-a890-4d0e-8066-19c144e748d9" ma:termSetId="5119f066-e663-471c-95aa-3b47d492233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b2ca4f-545d-4566-a037-99a475aa59e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019e43b-c3fa-4e68-bdc7-b8c61c48a276}" ma:internalName="TaxCatchAll" ma:showField="CatchAllData" ma:web="c6d1b2a1-4108-4da6-a939-99f0964f016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019e43b-c3fa-4e68-bdc7-b8c61c48a276}" ma:internalName="TaxCatchAllLabel" ma:readOnly="true" ma:showField="CatchAllDataLabel" ma:web="c6d1b2a1-4108-4da6-a939-99f0964f0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6d7093-5025-43f0-87d7-964c73dfc7e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40fdee-f7b9-41e8-bdab-b344c8909a2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b2ca4f-545d-4566-a037-99a475aa59e9"/>
    <cc92bdb0fa944447acf309642a11bf0d xmlns="c6d1b2a1-4108-4da6-a939-99f0964f0166">
      <Terms xmlns="http://schemas.microsoft.com/office/infopath/2007/PartnerControls"/>
    </cc92bdb0fa944447acf309642a11bf0d>
    <FavoriteUsers xmlns="c6d1b2a1-4108-4da6-a939-99f0964f0166">
      <UserInfo>
        <DisplayName/>
        <AccountId xsi:nil="true"/>
        <AccountType/>
      </UserInfo>
    </FavoriteUsers>
    <KeyEntities xmlns="c6d1b2a1-4108-4da6-a939-99f0964f0166" xsi:nil="true"/>
    <i9f2da93fcc74e869d070fd34a0597c4 xmlns="c6d1b2a1-4108-4da6-a939-99f0964f0166">
      <Terms xmlns="http://schemas.microsoft.com/office/infopath/2007/PartnerControls"/>
    </i9f2da93fcc74e869d070fd34a0597c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2F77B-5C79-4D87-9B28-18B7E50CFE0F}"/>
</file>

<file path=customXml/itemProps2.xml><?xml version="1.0" encoding="utf-8"?>
<ds:datastoreItem xmlns:ds="http://schemas.openxmlformats.org/officeDocument/2006/customXml" ds:itemID="{21DB3F43-9C41-4AC3-ABD4-16DCD6EA5489}"/>
</file>

<file path=customXml/itemProps3.xml><?xml version="1.0" encoding="utf-8"?>
<ds:datastoreItem xmlns:ds="http://schemas.openxmlformats.org/officeDocument/2006/customXml" ds:itemID="{487372F7-E5EA-489A-AF5C-9C54E521DBCD}"/>
</file>

<file path=customXml/itemProps4.xml><?xml version="1.0" encoding="utf-8"?>
<ds:datastoreItem xmlns:ds="http://schemas.openxmlformats.org/officeDocument/2006/customXml" ds:itemID="{B8867CCF-B114-417A-A2F2-44858C27E8B7}"/>
</file>

<file path=docProps/app.xml><?xml version="1.0" encoding="utf-8"?>
<Properties xmlns="http://schemas.openxmlformats.org/officeDocument/2006/extended-properties" xmlns:vt="http://schemas.openxmlformats.org/officeDocument/2006/docPropsVTypes">
  <Template>Normal</Template>
  <TotalTime>79</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Mcgrath</dc:creator>
  <cp:keywords/>
  <dc:description/>
  <cp:lastModifiedBy>Catriona Statham</cp:lastModifiedBy>
  <cp:revision>26</cp:revision>
  <dcterms:created xsi:type="dcterms:W3CDTF">2018-07-19T14:35:00Z</dcterms:created>
  <dcterms:modified xsi:type="dcterms:W3CDTF">2018-07-19T19:22:00Z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0x0101002A2DB23D81B146548380C2D46D076609008F66855BCAE044D0AA257A55333F2A2E000B45C6226ABA1E43B9BBFE2E7ED197A6</vt:lpwstr>
  </property>
  <property fmtid="{D5CDD505-2E9C-101B-9397-08002B2CF9AE}" pid="3" name="PimsDocumentType">
    <vt:lpwstr/>
  </property>
  <property fmtid="{D5CDD505-2E9C-101B-9397-08002B2CF9AE}" pid="4" name="PimsKeywords">
    <vt:lpwstr/>
  </property>
  <property fmtid="{D5CDD505-2E9C-101B-9397-08002B2CF9AE}" pid="5" name="NGOOnlineKeywords">
    <vt:lpwstr/>
  </property>
  <property fmtid="{D5CDD505-2E9C-101B-9397-08002B2CF9AE}" pid="6" name="NGOOnlineDocumentType">
    <vt:lpwstr/>
  </property>
  <property fmtid="{D5CDD505-2E9C-101B-9397-08002B2CF9AE}" pid="7" name="NGOOnlinePriorityGroup">
    <vt:lpwstr/>
  </property>
  <property fmtid="{D5CDD505-2E9C-101B-9397-08002B2CF9AE}" pid="8" name="p75d8c1866154d169f9787e2f8ad3758">
    <vt:lpwstr/>
  </property>
</Properties>
</file>